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92" w:rsidRPr="004C7B92" w:rsidRDefault="00956107" w:rsidP="004C7B92">
      <w:pPr>
        <w:shd w:val="clear" w:color="auto" w:fill="FFFFFF"/>
        <w:spacing w:before="100" w:beforeAutospacing="1" w:after="240" w:line="240" w:lineRule="auto"/>
        <w:outlineLvl w:val="0"/>
        <w:rPr>
          <w:rFonts w:ascii="Arial" w:eastAsia="Times New Roman" w:hAnsi="Arial" w:cs="Arial"/>
          <w:b/>
          <w:bCs/>
          <w:color w:val="203550"/>
          <w:kern w:val="36"/>
          <w:sz w:val="28"/>
          <w:szCs w:val="28"/>
        </w:rPr>
      </w:pPr>
      <w:r>
        <w:rPr>
          <w:rFonts w:ascii="Arial" w:eastAsia="Times New Roman" w:hAnsi="Arial" w:cs="Arial"/>
          <w:b/>
          <w:bCs/>
          <w:color w:val="203550"/>
          <w:kern w:val="36"/>
          <w:sz w:val="28"/>
          <w:szCs w:val="28"/>
        </w:rPr>
        <w:t>Reasonable</w:t>
      </w:r>
      <w:r w:rsidR="004C7B92" w:rsidRPr="004C7B92">
        <w:rPr>
          <w:rFonts w:ascii="Arial" w:eastAsia="Times New Roman" w:hAnsi="Arial" w:cs="Arial"/>
          <w:b/>
          <w:bCs/>
          <w:color w:val="203550"/>
          <w:kern w:val="36"/>
          <w:sz w:val="28"/>
          <w:szCs w:val="28"/>
        </w:rPr>
        <w:t xml:space="preserve"> Accommodations</w:t>
      </w:r>
    </w:p>
    <w:p w:rsidR="004C7B92" w:rsidRPr="004C7B92" w:rsidRDefault="004C7B92" w:rsidP="004C7B92">
      <w:pPr>
        <w:shd w:val="clear" w:color="auto" w:fill="FFFFFF"/>
        <w:spacing w:before="100" w:beforeAutospacing="1" w:after="100" w:afterAutospacing="1" w:line="240" w:lineRule="auto"/>
        <w:rPr>
          <w:rFonts w:ascii="Arial" w:eastAsia="Times New Roman" w:hAnsi="Arial" w:cs="Arial"/>
          <w:spacing w:val="1"/>
          <w:sz w:val="28"/>
          <w:szCs w:val="28"/>
        </w:rPr>
      </w:pPr>
      <w:bookmarkStart w:id="0" w:name="_GoBack"/>
      <w:bookmarkEnd w:id="0"/>
      <w:r w:rsidRPr="004C7B92">
        <w:rPr>
          <w:rFonts w:ascii="Arial" w:eastAsia="Times New Roman" w:hAnsi="Arial" w:cs="Arial"/>
          <w:spacing w:val="1"/>
          <w:sz w:val="28"/>
          <w:szCs w:val="28"/>
        </w:rPr>
        <w:t xml:space="preserve">CCSU's Office for Student Disability Services (SDS) is committed to providing equal access to an educational experience through the provision of reasonable accommodations and services to qualified students with disabilities in order to reduce or eliminate any disadvantages that may occur as a result of an individual's disability. In determining reasonable accommodations, CCSU </w:t>
      </w:r>
      <w:proofErr w:type="gramStart"/>
      <w:r w:rsidRPr="004C7B92">
        <w:rPr>
          <w:rFonts w:ascii="Arial" w:eastAsia="Times New Roman" w:hAnsi="Arial" w:cs="Arial"/>
          <w:spacing w:val="1"/>
          <w:sz w:val="28"/>
          <w:szCs w:val="28"/>
        </w:rPr>
        <w:t>is guided</w:t>
      </w:r>
      <w:proofErr w:type="gramEnd"/>
      <w:r w:rsidRPr="004C7B92">
        <w:rPr>
          <w:rFonts w:ascii="Arial" w:eastAsia="Times New Roman" w:hAnsi="Arial" w:cs="Arial"/>
          <w:spacing w:val="1"/>
          <w:sz w:val="28"/>
          <w:szCs w:val="28"/>
        </w:rPr>
        <w:t xml:space="preserve"> by the federal definition of "disability" which describes an individual with a disability as someone who has:        </w:t>
      </w:r>
    </w:p>
    <w:p w:rsidR="004C7B92" w:rsidRPr="004C7B92" w:rsidRDefault="004C7B92" w:rsidP="004C7B92">
      <w:pPr>
        <w:numPr>
          <w:ilvl w:val="0"/>
          <w:numId w:val="1"/>
        </w:numPr>
        <w:shd w:val="clear" w:color="auto" w:fill="FFFFFF"/>
        <w:spacing w:before="100" w:beforeAutospacing="1" w:after="100" w:afterAutospacing="1" w:line="240" w:lineRule="auto"/>
        <w:rPr>
          <w:rFonts w:ascii="Arial" w:eastAsia="Times New Roman" w:hAnsi="Arial" w:cs="Arial"/>
          <w:spacing w:val="1"/>
          <w:sz w:val="28"/>
          <w:szCs w:val="28"/>
        </w:rPr>
      </w:pPr>
      <w:r w:rsidRPr="004C7B92">
        <w:rPr>
          <w:rFonts w:ascii="Arial" w:eastAsia="Times New Roman" w:hAnsi="Arial" w:cs="Arial"/>
          <w:spacing w:val="1"/>
          <w:sz w:val="28"/>
          <w:szCs w:val="28"/>
        </w:rPr>
        <w:t xml:space="preserve">A physical or mental impairment that substantially limits one or more major life activities of an individual; for example: caring for oneself, standing, lifting, bending, speaking, breathing, eating, sleeping, walking, performing manual tasks, learning, reading, concentrating, thinking, and working. </w:t>
      </w:r>
    </w:p>
    <w:p w:rsidR="004C7B92" w:rsidRPr="004C7B92" w:rsidRDefault="004C7B92" w:rsidP="004C7B92">
      <w:pPr>
        <w:numPr>
          <w:ilvl w:val="0"/>
          <w:numId w:val="1"/>
        </w:numPr>
        <w:shd w:val="clear" w:color="auto" w:fill="FFFFFF"/>
        <w:spacing w:before="100" w:beforeAutospacing="1" w:after="100" w:afterAutospacing="1" w:line="240" w:lineRule="auto"/>
        <w:rPr>
          <w:rFonts w:ascii="Arial" w:eastAsia="Times New Roman" w:hAnsi="Arial" w:cs="Arial"/>
          <w:spacing w:val="1"/>
          <w:sz w:val="28"/>
          <w:szCs w:val="28"/>
        </w:rPr>
      </w:pPr>
      <w:r w:rsidRPr="004C7B92">
        <w:rPr>
          <w:rFonts w:ascii="Arial" w:eastAsia="Times New Roman" w:hAnsi="Arial" w:cs="Arial"/>
          <w:spacing w:val="1"/>
          <w:sz w:val="28"/>
          <w:szCs w:val="28"/>
        </w:rPr>
        <w:t>A record of such impairment; or</w:t>
      </w:r>
    </w:p>
    <w:p w:rsidR="004C7B92" w:rsidRPr="004C7B92" w:rsidRDefault="004C7B92" w:rsidP="004C7B92">
      <w:pPr>
        <w:numPr>
          <w:ilvl w:val="0"/>
          <w:numId w:val="1"/>
        </w:numPr>
        <w:shd w:val="clear" w:color="auto" w:fill="FFFFFF"/>
        <w:spacing w:before="100" w:beforeAutospacing="1" w:after="100" w:afterAutospacing="1" w:line="240" w:lineRule="auto"/>
        <w:rPr>
          <w:rFonts w:ascii="Arial" w:eastAsia="Times New Roman" w:hAnsi="Arial" w:cs="Arial"/>
          <w:spacing w:val="1"/>
          <w:sz w:val="28"/>
          <w:szCs w:val="28"/>
        </w:rPr>
      </w:pPr>
      <w:r w:rsidRPr="004C7B92">
        <w:rPr>
          <w:rFonts w:ascii="Arial" w:eastAsia="Times New Roman" w:hAnsi="Arial" w:cs="Arial"/>
          <w:spacing w:val="1"/>
          <w:sz w:val="28"/>
          <w:szCs w:val="28"/>
        </w:rPr>
        <w:t>Is regarded as having such an impairment</w:t>
      </w:r>
    </w:p>
    <w:p w:rsidR="004C7B92" w:rsidRPr="004C7B92" w:rsidRDefault="004C7B92" w:rsidP="004C7B92">
      <w:pPr>
        <w:shd w:val="clear" w:color="auto" w:fill="FFFFFF"/>
        <w:spacing w:before="100" w:beforeAutospacing="1" w:after="100" w:afterAutospacing="1" w:line="240" w:lineRule="auto"/>
        <w:outlineLvl w:val="3"/>
        <w:rPr>
          <w:rFonts w:ascii="Arial" w:eastAsia="Times New Roman" w:hAnsi="Arial" w:cs="Arial"/>
          <w:color w:val="363636"/>
          <w:sz w:val="28"/>
          <w:szCs w:val="28"/>
        </w:rPr>
      </w:pPr>
      <w:r w:rsidRPr="004C7B92">
        <w:rPr>
          <w:rFonts w:ascii="Arial" w:eastAsia="Times New Roman" w:hAnsi="Arial" w:cs="Arial"/>
          <w:color w:val="363636"/>
          <w:sz w:val="28"/>
          <w:szCs w:val="28"/>
        </w:rPr>
        <w:t>Defining Reasonable Accommodations</w:t>
      </w:r>
    </w:p>
    <w:p w:rsidR="004C7B92" w:rsidRPr="004C7B92" w:rsidRDefault="004C7B92" w:rsidP="004C7B92">
      <w:pPr>
        <w:shd w:val="clear" w:color="auto" w:fill="FFFFFF"/>
        <w:spacing w:before="100" w:beforeAutospacing="1" w:after="100" w:afterAutospacing="1" w:line="240" w:lineRule="auto"/>
        <w:rPr>
          <w:rFonts w:ascii="Arial" w:eastAsia="Times New Roman" w:hAnsi="Arial" w:cs="Arial"/>
          <w:spacing w:val="1"/>
          <w:sz w:val="28"/>
          <w:szCs w:val="28"/>
        </w:rPr>
      </w:pPr>
      <w:r w:rsidRPr="004C7B92">
        <w:rPr>
          <w:rFonts w:ascii="Arial" w:eastAsia="Times New Roman" w:hAnsi="Arial" w:cs="Arial"/>
          <w:spacing w:val="1"/>
          <w:sz w:val="28"/>
          <w:szCs w:val="28"/>
        </w:rPr>
        <w:t xml:space="preserve">A reasonable accommodation is a modification or adjustment to a course, program, service, job activity, or facility that ensures an equal opportunity for qualified students with disabilities to participate in, and enjoy the benefits of, a service, program, or activity. Aids, benefits, or services need not produce equal results, but must afford an equal opportunity to achieve equal results. When necessary, SDS staff will consult with faculty regarding whether an accommodation would fundamentally alter the nature of the service, program or activity or whether an academic requirement is essential to the instruction </w:t>
      </w:r>
      <w:proofErr w:type="gramStart"/>
      <w:r w:rsidRPr="004C7B92">
        <w:rPr>
          <w:rFonts w:ascii="Arial" w:eastAsia="Times New Roman" w:hAnsi="Arial" w:cs="Arial"/>
          <w:spacing w:val="1"/>
          <w:sz w:val="28"/>
          <w:szCs w:val="28"/>
        </w:rPr>
        <w:t>being pursued</w:t>
      </w:r>
      <w:proofErr w:type="gramEnd"/>
      <w:r w:rsidRPr="004C7B92">
        <w:rPr>
          <w:rFonts w:ascii="Arial" w:eastAsia="Times New Roman" w:hAnsi="Arial" w:cs="Arial"/>
          <w:spacing w:val="1"/>
          <w:sz w:val="28"/>
          <w:szCs w:val="28"/>
        </w:rPr>
        <w:t xml:space="preserve"> or to any directly related licensing requirement. In doing so, SDS will examine the following: </w:t>
      </w:r>
    </w:p>
    <w:p w:rsidR="004C7B92" w:rsidRPr="004C7B92" w:rsidRDefault="004C7B92" w:rsidP="004C7B92">
      <w:pPr>
        <w:numPr>
          <w:ilvl w:val="0"/>
          <w:numId w:val="2"/>
        </w:numPr>
        <w:shd w:val="clear" w:color="auto" w:fill="FFFFFF"/>
        <w:spacing w:before="100" w:beforeAutospacing="1" w:after="100" w:afterAutospacing="1" w:line="240" w:lineRule="auto"/>
        <w:rPr>
          <w:rFonts w:ascii="Arial" w:eastAsia="Times New Roman" w:hAnsi="Arial" w:cs="Arial"/>
          <w:spacing w:val="1"/>
          <w:sz w:val="28"/>
          <w:szCs w:val="28"/>
        </w:rPr>
      </w:pPr>
      <w:r w:rsidRPr="004C7B92">
        <w:rPr>
          <w:rFonts w:ascii="Arial" w:eastAsia="Times New Roman" w:hAnsi="Arial" w:cs="Arial"/>
          <w:spacing w:val="1"/>
          <w:sz w:val="28"/>
          <w:szCs w:val="28"/>
        </w:rPr>
        <w:t xml:space="preserve">Barriers between individuals with disabilities and the campus environment in accessing courses, programs, services, jobs, activities or facilities without accommodations; </w:t>
      </w:r>
    </w:p>
    <w:p w:rsidR="004C7B92" w:rsidRPr="004C7B92" w:rsidRDefault="004C7B92" w:rsidP="004C7B92">
      <w:pPr>
        <w:numPr>
          <w:ilvl w:val="0"/>
          <w:numId w:val="2"/>
        </w:numPr>
        <w:shd w:val="clear" w:color="auto" w:fill="FFFFFF"/>
        <w:spacing w:before="100" w:beforeAutospacing="1" w:after="100" w:afterAutospacing="1" w:line="240" w:lineRule="auto"/>
        <w:rPr>
          <w:rFonts w:ascii="Arial" w:eastAsia="Times New Roman" w:hAnsi="Arial" w:cs="Arial"/>
          <w:spacing w:val="1"/>
          <w:sz w:val="28"/>
          <w:szCs w:val="28"/>
        </w:rPr>
      </w:pPr>
      <w:r w:rsidRPr="004C7B92">
        <w:rPr>
          <w:rFonts w:ascii="Arial" w:eastAsia="Times New Roman" w:hAnsi="Arial" w:cs="Arial"/>
          <w:spacing w:val="1"/>
          <w:sz w:val="28"/>
          <w:szCs w:val="28"/>
        </w:rPr>
        <w:t>Requested modifications, accommodations, and auxiliary aids</w:t>
      </w:r>
      <w:proofErr w:type="gramStart"/>
      <w:r w:rsidRPr="004C7B92">
        <w:rPr>
          <w:rFonts w:ascii="Arial" w:eastAsia="Times New Roman" w:hAnsi="Arial" w:cs="Arial"/>
          <w:spacing w:val="1"/>
          <w:sz w:val="28"/>
          <w:szCs w:val="28"/>
        </w:rPr>
        <w:t>;.</w:t>
      </w:r>
      <w:proofErr w:type="gramEnd"/>
    </w:p>
    <w:p w:rsidR="004C7B92" w:rsidRPr="004C7B92" w:rsidRDefault="004C7B92" w:rsidP="004C7B92">
      <w:pPr>
        <w:numPr>
          <w:ilvl w:val="0"/>
          <w:numId w:val="2"/>
        </w:numPr>
        <w:shd w:val="clear" w:color="auto" w:fill="FFFFFF"/>
        <w:spacing w:before="100" w:beforeAutospacing="1" w:after="100" w:afterAutospacing="1" w:line="240" w:lineRule="auto"/>
        <w:rPr>
          <w:rFonts w:ascii="Arial" w:eastAsia="Times New Roman" w:hAnsi="Arial" w:cs="Arial"/>
          <w:spacing w:val="1"/>
          <w:sz w:val="28"/>
          <w:szCs w:val="28"/>
        </w:rPr>
      </w:pPr>
      <w:r w:rsidRPr="004C7B92">
        <w:rPr>
          <w:rFonts w:ascii="Arial" w:eastAsia="Times New Roman" w:hAnsi="Arial" w:cs="Arial"/>
          <w:spacing w:val="1"/>
          <w:sz w:val="28"/>
          <w:szCs w:val="28"/>
        </w:rPr>
        <w:t xml:space="preserve">Whether the proposed accommodations would fundamentally alter the nature of the course, program, service, job, activity, or facility; </w:t>
      </w:r>
    </w:p>
    <w:p w:rsidR="004C7B92" w:rsidRPr="004C7B92" w:rsidRDefault="004C7B92" w:rsidP="004C7B92">
      <w:pPr>
        <w:numPr>
          <w:ilvl w:val="0"/>
          <w:numId w:val="2"/>
        </w:numPr>
        <w:shd w:val="clear" w:color="auto" w:fill="FFFFFF"/>
        <w:spacing w:before="100" w:beforeAutospacing="1" w:after="100" w:afterAutospacing="1" w:line="240" w:lineRule="auto"/>
        <w:rPr>
          <w:rFonts w:ascii="Arial" w:eastAsia="Times New Roman" w:hAnsi="Arial" w:cs="Arial"/>
          <w:spacing w:val="1"/>
          <w:sz w:val="28"/>
          <w:szCs w:val="28"/>
        </w:rPr>
      </w:pPr>
      <w:r w:rsidRPr="004C7B92">
        <w:rPr>
          <w:rFonts w:ascii="Arial" w:eastAsia="Times New Roman" w:hAnsi="Arial" w:cs="Arial"/>
          <w:spacing w:val="1"/>
          <w:sz w:val="28"/>
          <w:szCs w:val="28"/>
        </w:rPr>
        <w:t xml:space="preserve">Whether an academic requirement is essential to the instruction or to any directly related licensing requirement; </w:t>
      </w:r>
    </w:p>
    <w:p w:rsidR="004C7B92" w:rsidRPr="004C7B92" w:rsidRDefault="004C7B92" w:rsidP="004C7B92">
      <w:pPr>
        <w:numPr>
          <w:ilvl w:val="0"/>
          <w:numId w:val="2"/>
        </w:numPr>
        <w:shd w:val="clear" w:color="auto" w:fill="FFFFFF"/>
        <w:spacing w:before="100" w:beforeAutospacing="1" w:after="100" w:afterAutospacing="1" w:line="240" w:lineRule="auto"/>
        <w:rPr>
          <w:rFonts w:ascii="Arial" w:eastAsia="Times New Roman" w:hAnsi="Arial" w:cs="Arial"/>
          <w:spacing w:val="1"/>
          <w:sz w:val="28"/>
          <w:szCs w:val="28"/>
        </w:rPr>
      </w:pPr>
      <w:r w:rsidRPr="004C7B92">
        <w:rPr>
          <w:rFonts w:ascii="Arial" w:eastAsia="Times New Roman" w:hAnsi="Arial" w:cs="Arial"/>
          <w:spacing w:val="1"/>
          <w:sz w:val="28"/>
          <w:szCs w:val="28"/>
        </w:rPr>
        <w:lastRenderedPageBreak/>
        <w:t xml:space="preserve">Whether effective alternatives </w:t>
      </w:r>
      <w:proofErr w:type="gramStart"/>
      <w:r w:rsidRPr="004C7B92">
        <w:rPr>
          <w:rFonts w:ascii="Arial" w:eastAsia="Times New Roman" w:hAnsi="Arial" w:cs="Arial"/>
          <w:spacing w:val="1"/>
          <w:sz w:val="28"/>
          <w:szCs w:val="28"/>
        </w:rPr>
        <w:t>exist</w:t>
      </w:r>
      <w:proofErr w:type="gramEnd"/>
      <w:r w:rsidRPr="004C7B92">
        <w:rPr>
          <w:rFonts w:ascii="Arial" w:eastAsia="Times New Roman" w:hAnsi="Arial" w:cs="Arial"/>
          <w:spacing w:val="1"/>
          <w:sz w:val="28"/>
          <w:szCs w:val="28"/>
        </w:rPr>
        <w:t xml:space="preserve"> that would allow the individual with a disability to participate without lowering essential requirements or fundamentally altering the nature of the program. </w:t>
      </w:r>
    </w:p>
    <w:p w:rsidR="004C7B92" w:rsidRPr="004C7B92" w:rsidRDefault="004C7B92" w:rsidP="004C7B92">
      <w:pPr>
        <w:shd w:val="clear" w:color="auto" w:fill="FFFFFF"/>
        <w:spacing w:before="100" w:beforeAutospacing="1" w:after="100" w:afterAutospacing="1" w:line="240" w:lineRule="auto"/>
        <w:rPr>
          <w:rFonts w:ascii="Arial" w:eastAsia="Times New Roman" w:hAnsi="Arial" w:cs="Arial"/>
          <w:spacing w:val="1"/>
          <w:sz w:val="28"/>
          <w:szCs w:val="28"/>
        </w:rPr>
      </w:pPr>
      <w:r w:rsidRPr="004C7B92">
        <w:rPr>
          <w:rFonts w:ascii="Arial" w:eastAsia="Times New Roman" w:hAnsi="Arial" w:cs="Arial"/>
          <w:spacing w:val="1"/>
          <w:sz w:val="28"/>
          <w:szCs w:val="28"/>
        </w:rPr>
        <w:t xml:space="preserve">When the University determines that a modification related to facilities or communication would result in a fundamental alteration or undue burden, SDS shall acquire the written opinion of the proper authority, i.e. department chair of impacted discipline, providing the reasoning supporting the decision. </w:t>
      </w:r>
    </w:p>
    <w:p w:rsidR="004C7B92" w:rsidRPr="004C7B92" w:rsidRDefault="004C7B92" w:rsidP="004C7B92">
      <w:pPr>
        <w:shd w:val="clear" w:color="auto" w:fill="FFFFFF"/>
        <w:spacing w:after="0" w:line="240" w:lineRule="auto"/>
        <w:rPr>
          <w:rFonts w:ascii="Arial" w:eastAsia="Times New Roman" w:hAnsi="Arial" w:cs="Arial"/>
          <w:sz w:val="28"/>
          <w:szCs w:val="28"/>
        </w:rPr>
      </w:pPr>
      <w:r w:rsidRPr="004C7B92">
        <w:rPr>
          <w:rFonts w:ascii="Arial" w:eastAsia="Times New Roman" w:hAnsi="Arial" w:cs="Arial"/>
          <w:sz w:val="28"/>
          <w:szCs w:val="28"/>
        </w:rPr>
        <w:pict>
          <v:rect id="_x0000_i1025" style="width:0;height:1.5pt" o:hralign="center" o:hrstd="t" o:hr="t" fillcolor="#a0a0a0" stroked="f"/>
        </w:pict>
      </w:r>
    </w:p>
    <w:p w:rsidR="004C7B92" w:rsidRPr="004C7B92" w:rsidRDefault="004C7B92" w:rsidP="004C7B92">
      <w:pPr>
        <w:shd w:val="clear" w:color="auto" w:fill="FFFFFF"/>
        <w:spacing w:before="100" w:beforeAutospacing="1" w:after="100" w:afterAutospacing="1" w:line="240" w:lineRule="auto"/>
        <w:outlineLvl w:val="1"/>
        <w:rPr>
          <w:rFonts w:ascii="Arial" w:eastAsia="Times New Roman" w:hAnsi="Arial" w:cs="Arial"/>
          <w:sz w:val="28"/>
          <w:szCs w:val="28"/>
        </w:rPr>
      </w:pPr>
      <w:r w:rsidRPr="004C7B92">
        <w:rPr>
          <w:rFonts w:ascii="Arial" w:eastAsia="Times New Roman" w:hAnsi="Arial" w:cs="Arial"/>
          <w:sz w:val="28"/>
          <w:szCs w:val="28"/>
        </w:rPr>
        <w:t>Eligibility for Services</w:t>
      </w:r>
    </w:p>
    <w:p w:rsidR="004C7B92" w:rsidRPr="004C7B92" w:rsidRDefault="004C7B92" w:rsidP="004C7B92">
      <w:pPr>
        <w:shd w:val="clear" w:color="auto" w:fill="FFFFFF"/>
        <w:spacing w:before="100" w:beforeAutospacing="1" w:after="100" w:afterAutospacing="1" w:line="240" w:lineRule="auto"/>
        <w:rPr>
          <w:rFonts w:ascii="Arial" w:eastAsia="Times New Roman" w:hAnsi="Arial" w:cs="Arial"/>
          <w:spacing w:val="1"/>
          <w:sz w:val="28"/>
          <w:szCs w:val="28"/>
        </w:rPr>
      </w:pPr>
      <w:r w:rsidRPr="004C7B92">
        <w:rPr>
          <w:rFonts w:ascii="Arial" w:eastAsia="Times New Roman" w:hAnsi="Arial" w:cs="Arial"/>
          <w:spacing w:val="1"/>
          <w:sz w:val="28"/>
          <w:szCs w:val="28"/>
        </w:rPr>
        <w:t xml:space="preserve">Eligibility for services/accommodations from SDS is a separate process from admissions. The admissions process for students with disabilities is the same as for all other students.  Disclosure of a disability is voluntary; however, students may consider disclosing the disability when high school academic performance </w:t>
      </w:r>
      <w:proofErr w:type="gramStart"/>
      <w:r w:rsidRPr="004C7B92">
        <w:rPr>
          <w:rFonts w:ascii="Arial" w:eastAsia="Times New Roman" w:hAnsi="Arial" w:cs="Arial"/>
          <w:spacing w:val="1"/>
          <w:sz w:val="28"/>
          <w:szCs w:val="28"/>
        </w:rPr>
        <w:t>was adversely affected</w:t>
      </w:r>
      <w:proofErr w:type="gramEnd"/>
      <w:r w:rsidRPr="004C7B92">
        <w:rPr>
          <w:rFonts w:ascii="Arial" w:eastAsia="Times New Roman" w:hAnsi="Arial" w:cs="Arial"/>
          <w:spacing w:val="1"/>
          <w:sz w:val="28"/>
          <w:szCs w:val="28"/>
        </w:rPr>
        <w:t xml:space="preserve"> due to the disability.</w:t>
      </w:r>
      <w:r>
        <w:rPr>
          <w:rFonts w:ascii="Arial" w:eastAsia="Times New Roman" w:hAnsi="Arial" w:cs="Arial"/>
          <w:spacing w:val="1"/>
          <w:sz w:val="28"/>
          <w:szCs w:val="28"/>
        </w:rPr>
        <w:t xml:space="preserve"> </w:t>
      </w:r>
      <w:r w:rsidRPr="004C7B92">
        <w:rPr>
          <w:rFonts w:ascii="Arial" w:eastAsia="Times New Roman" w:hAnsi="Arial" w:cs="Arial"/>
          <w:spacing w:val="1"/>
          <w:sz w:val="28"/>
          <w:szCs w:val="28"/>
        </w:rPr>
        <w:t xml:space="preserve">Disability documentation </w:t>
      </w:r>
      <w:proofErr w:type="gramStart"/>
      <w:r w:rsidRPr="004C7B92">
        <w:rPr>
          <w:rFonts w:ascii="Arial" w:eastAsia="Times New Roman" w:hAnsi="Arial" w:cs="Arial"/>
          <w:spacing w:val="1"/>
          <w:sz w:val="28"/>
          <w:szCs w:val="28"/>
        </w:rPr>
        <w:t>is reviewed</w:t>
      </w:r>
      <w:proofErr w:type="gramEnd"/>
      <w:r w:rsidRPr="004C7B92">
        <w:rPr>
          <w:rFonts w:ascii="Arial" w:eastAsia="Times New Roman" w:hAnsi="Arial" w:cs="Arial"/>
          <w:spacing w:val="1"/>
          <w:sz w:val="28"/>
          <w:szCs w:val="28"/>
        </w:rPr>
        <w:t xml:space="preserve"> on a case-by-case basis and does not override the primary admissions criteria.</w:t>
      </w:r>
      <w:r w:rsidR="00153592">
        <w:rPr>
          <w:rFonts w:ascii="Arial" w:eastAsia="Times New Roman" w:hAnsi="Arial" w:cs="Arial"/>
          <w:spacing w:val="1"/>
          <w:sz w:val="28"/>
          <w:szCs w:val="28"/>
        </w:rPr>
        <w:t xml:space="preserve"> For confidentiality reasons, it </w:t>
      </w:r>
      <w:proofErr w:type="gramStart"/>
      <w:r w:rsidR="00153592">
        <w:rPr>
          <w:rFonts w:ascii="Arial" w:eastAsia="Times New Roman" w:hAnsi="Arial" w:cs="Arial"/>
          <w:spacing w:val="1"/>
          <w:sz w:val="28"/>
          <w:szCs w:val="28"/>
        </w:rPr>
        <w:t>is</w:t>
      </w:r>
      <w:r w:rsidRPr="004C7B92">
        <w:rPr>
          <w:rFonts w:ascii="Arial" w:eastAsia="Times New Roman" w:hAnsi="Arial" w:cs="Arial"/>
          <w:spacing w:val="1"/>
          <w:sz w:val="28"/>
          <w:szCs w:val="28"/>
        </w:rPr>
        <w:t xml:space="preserve"> recommended</w:t>
      </w:r>
      <w:proofErr w:type="gramEnd"/>
      <w:r w:rsidRPr="004C7B92">
        <w:rPr>
          <w:rFonts w:ascii="Arial" w:eastAsia="Times New Roman" w:hAnsi="Arial" w:cs="Arial"/>
          <w:spacing w:val="1"/>
          <w:sz w:val="28"/>
          <w:szCs w:val="28"/>
        </w:rPr>
        <w:t xml:space="preserve"> that disability documentation be provided directly to SDS. </w:t>
      </w:r>
    </w:p>
    <w:p w:rsidR="004C7B92" w:rsidRDefault="004C7B92" w:rsidP="004C7B92">
      <w:pPr>
        <w:shd w:val="clear" w:color="auto" w:fill="FFFFFF"/>
        <w:spacing w:before="100" w:beforeAutospacing="1" w:after="100" w:afterAutospacing="1" w:line="240" w:lineRule="auto"/>
        <w:rPr>
          <w:rFonts w:ascii="Arial" w:eastAsia="Times New Roman" w:hAnsi="Arial" w:cs="Arial"/>
          <w:spacing w:val="1"/>
          <w:sz w:val="28"/>
          <w:szCs w:val="28"/>
        </w:rPr>
      </w:pPr>
      <w:r w:rsidRPr="004C7B92">
        <w:rPr>
          <w:rFonts w:ascii="Arial" w:eastAsia="Times New Roman" w:hAnsi="Arial" w:cs="Arial"/>
          <w:spacing w:val="1"/>
          <w:sz w:val="28"/>
          <w:szCs w:val="28"/>
        </w:rPr>
        <w:t xml:space="preserve">In order to receive accommodations from SDS, students must first obtain appropriate documentation of their disabilities from a qualified professional. Disability documentation is credible evidence from, for example: a licensed or certified professional, PhD, MD, psychologist, audiologist, etc. who can attest to the existence of a disability, the impact of the alleged disability on academic performance and related competencies and make recommendations for equal access and/or academic compensatory measures, known as accommodations. </w:t>
      </w:r>
    </w:p>
    <w:p w:rsidR="00153592" w:rsidRPr="004C7B92" w:rsidRDefault="00956107" w:rsidP="004C7B92">
      <w:pPr>
        <w:shd w:val="clear" w:color="auto" w:fill="FFFFFF"/>
        <w:spacing w:before="100" w:beforeAutospacing="1" w:after="100" w:afterAutospacing="1" w:line="240" w:lineRule="auto"/>
        <w:rPr>
          <w:rFonts w:ascii="Arial" w:eastAsia="Times New Roman" w:hAnsi="Arial" w:cs="Arial"/>
          <w:spacing w:val="1"/>
          <w:sz w:val="28"/>
          <w:szCs w:val="28"/>
        </w:rPr>
      </w:pPr>
      <w:r>
        <w:rPr>
          <w:rFonts w:ascii="Arial" w:eastAsia="Times New Roman" w:hAnsi="Arial" w:cs="Arial"/>
          <w:spacing w:val="1"/>
          <w:sz w:val="28"/>
          <w:szCs w:val="28"/>
        </w:rPr>
        <w:t>Students must arrange an i</w:t>
      </w:r>
      <w:r w:rsidR="00153592">
        <w:rPr>
          <w:rFonts w:ascii="Arial" w:eastAsia="Times New Roman" w:hAnsi="Arial" w:cs="Arial"/>
          <w:spacing w:val="1"/>
          <w:sz w:val="28"/>
          <w:szCs w:val="28"/>
        </w:rPr>
        <w:t xml:space="preserve">nteractive Intake meeting with Student Disability Services </w:t>
      </w:r>
      <w:r>
        <w:rPr>
          <w:rFonts w:ascii="Arial" w:eastAsia="Times New Roman" w:hAnsi="Arial" w:cs="Arial"/>
          <w:spacing w:val="1"/>
          <w:sz w:val="28"/>
          <w:szCs w:val="28"/>
        </w:rPr>
        <w:t xml:space="preserve">representative </w:t>
      </w:r>
      <w:r w:rsidR="00153592">
        <w:rPr>
          <w:rFonts w:ascii="Arial" w:eastAsia="Times New Roman" w:hAnsi="Arial" w:cs="Arial"/>
          <w:spacing w:val="1"/>
          <w:sz w:val="28"/>
          <w:szCs w:val="28"/>
        </w:rPr>
        <w:t xml:space="preserve">to discuss requested accommodations and to arrange for services or auxiliary aids. </w:t>
      </w:r>
      <w:proofErr w:type="gramStart"/>
      <w:r w:rsidR="00153592">
        <w:rPr>
          <w:rFonts w:ascii="Arial" w:eastAsia="Times New Roman" w:hAnsi="Arial" w:cs="Arial"/>
          <w:spacing w:val="1"/>
          <w:sz w:val="28"/>
          <w:szCs w:val="28"/>
        </w:rPr>
        <w:t>Should a student need an immediate access accommodation while visiting the campus</w:t>
      </w:r>
      <w:r>
        <w:rPr>
          <w:rFonts w:ascii="Arial" w:eastAsia="Times New Roman" w:hAnsi="Arial" w:cs="Arial"/>
          <w:spacing w:val="1"/>
          <w:sz w:val="28"/>
          <w:szCs w:val="28"/>
        </w:rPr>
        <w:t>,</w:t>
      </w:r>
      <w:r w:rsidR="00153592">
        <w:rPr>
          <w:rFonts w:ascii="Arial" w:eastAsia="Times New Roman" w:hAnsi="Arial" w:cs="Arial"/>
          <w:spacing w:val="1"/>
          <w:sz w:val="28"/>
          <w:szCs w:val="28"/>
        </w:rPr>
        <w:t xml:space="preserve"> or taking any placement exams, they should contact Student Disability Services </w:t>
      </w:r>
      <w:r>
        <w:rPr>
          <w:rFonts w:ascii="Arial" w:eastAsia="Times New Roman" w:hAnsi="Arial" w:cs="Arial"/>
          <w:spacing w:val="1"/>
          <w:sz w:val="28"/>
          <w:szCs w:val="28"/>
        </w:rPr>
        <w:t>in a reasonable amount of time for arrangements to be completed.</w:t>
      </w:r>
      <w:proofErr w:type="gramEnd"/>
      <w:r>
        <w:rPr>
          <w:rFonts w:ascii="Arial" w:eastAsia="Times New Roman" w:hAnsi="Arial" w:cs="Arial"/>
          <w:spacing w:val="1"/>
          <w:sz w:val="28"/>
          <w:szCs w:val="28"/>
        </w:rPr>
        <w:t xml:space="preserve"> </w:t>
      </w:r>
    </w:p>
    <w:p w:rsidR="00251A03" w:rsidRDefault="00251A03"/>
    <w:sectPr w:rsidR="00251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0415"/>
    <w:multiLevelType w:val="multilevel"/>
    <w:tmpl w:val="B6E0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41CDF"/>
    <w:multiLevelType w:val="multilevel"/>
    <w:tmpl w:val="AC6AF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92"/>
    <w:rsid w:val="00153592"/>
    <w:rsid w:val="00251A03"/>
    <w:rsid w:val="004C7B92"/>
    <w:rsid w:val="0095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63CC"/>
  <w15:chartTrackingRefBased/>
  <w15:docId w15:val="{AA9806FA-96D2-4B0A-9DC9-3047A53D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14572">
      <w:bodyDiv w:val="1"/>
      <w:marLeft w:val="0"/>
      <w:marRight w:val="0"/>
      <w:marTop w:val="0"/>
      <w:marBottom w:val="0"/>
      <w:divBdr>
        <w:top w:val="none" w:sz="0" w:space="0" w:color="auto"/>
        <w:left w:val="none" w:sz="0" w:space="0" w:color="auto"/>
        <w:bottom w:val="none" w:sz="0" w:space="0" w:color="auto"/>
        <w:right w:val="none" w:sz="0" w:space="0" w:color="auto"/>
      </w:divBdr>
      <w:divsChild>
        <w:div w:id="719597979">
          <w:marLeft w:val="0"/>
          <w:marRight w:val="0"/>
          <w:marTop w:val="0"/>
          <w:marBottom w:val="0"/>
          <w:divBdr>
            <w:top w:val="none" w:sz="0" w:space="0" w:color="auto"/>
            <w:left w:val="none" w:sz="0" w:space="0" w:color="auto"/>
            <w:bottom w:val="none" w:sz="0" w:space="0" w:color="auto"/>
            <w:right w:val="none" w:sz="0" w:space="0" w:color="auto"/>
          </w:divBdr>
          <w:divsChild>
            <w:div w:id="473181475">
              <w:marLeft w:val="0"/>
              <w:marRight w:val="0"/>
              <w:marTop w:val="0"/>
              <w:marBottom w:val="0"/>
              <w:divBdr>
                <w:top w:val="none" w:sz="0" w:space="0" w:color="auto"/>
                <w:left w:val="none" w:sz="0" w:space="0" w:color="auto"/>
                <w:bottom w:val="none" w:sz="0" w:space="0" w:color="auto"/>
                <w:right w:val="none" w:sz="0" w:space="0" w:color="auto"/>
              </w:divBdr>
              <w:divsChild>
                <w:div w:id="1743288346">
                  <w:marLeft w:val="0"/>
                  <w:marRight w:val="0"/>
                  <w:marTop w:val="0"/>
                  <w:marBottom w:val="0"/>
                  <w:divBdr>
                    <w:top w:val="none" w:sz="0" w:space="0" w:color="auto"/>
                    <w:left w:val="none" w:sz="0" w:space="0" w:color="auto"/>
                    <w:bottom w:val="none" w:sz="0" w:space="0" w:color="auto"/>
                    <w:right w:val="none" w:sz="0" w:space="0" w:color="auto"/>
                  </w:divBdr>
                  <w:divsChild>
                    <w:div w:id="738871324">
                      <w:marLeft w:val="0"/>
                      <w:marRight w:val="0"/>
                      <w:marTop w:val="0"/>
                      <w:marBottom w:val="0"/>
                      <w:divBdr>
                        <w:top w:val="none" w:sz="0" w:space="0" w:color="auto"/>
                        <w:left w:val="none" w:sz="0" w:space="0" w:color="auto"/>
                        <w:bottom w:val="none" w:sz="0" w:space="0" w:color="auto"/>
                        <w:right w:val="none" w:sz="0" w:space="0" w:color="auto"/>
                      </w:divBdr>
                      <w:divsChild>
                        <w:div w:id="13425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Milke, Joanne M. (StAffairs-Disability Svcs)</dc:creator>
  <cp:keywords/>
  <dc:description/>
  <cp:lastModifiedBy>Milke, Joanne M. (StAffairs-Disability Svcs)</cp:lastModifiedBy>
  <cp:revision>2</cp:revision>
  <dcterms:created xsi:type="dcterms:W3CDTF">2019-06-18T20:39:00Z</dcterms:created>
  <dcterms:modified xsi:type="dcterms:W3CDTF">2019-06-18T20:39:00Z</dcterms:modified>
</cp:coreProperties>
</file>