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2018" w14:textId="3E788ED9" w:rsidR="00AE6D39" w:rsidRDefault="00AE6D39" w:rsidP="003F1368">
      <w:pPr>
        <w:pBdr>
          <w:bottom w:val="double" w:sz="6" w:space="1" w:color="auto"/>
        </w:pBdr>
        <w:ind w:left="360" w:hanging="360"/>
        <w:rPr>
          <w:rFonts w:eastAsia="Calibri" w:cstheme="minorHAnsi"/>
          <w:b/>
          <w:bCs/>
          <w:color w:val="0A0A0A"/>
        </w:rPr>
      </w:pPr>
      <w:r>
        <w:rPr>
          <w:rFonts w:eastAsia="Calibri" w:cstheme="minorHAnsi"/>
          <w:b/>
          <w:bCs/>
          <w:color w:val="0A0A0A"/>
        </w:rPr>
        <w:t>Note: currently at 4 ½ pages, page goal is 2 to 3</w:t>
      </w:r>
    </w:p>
    <w:p w14:paraId="32215BFD" w14:textId="6CEEC459" w:rsidR="00D65F7D" w:rsidRPr="00B029B0" w:rsidRDefault="003A0C0C" w:rsidP="003F1368">
      <w:pPr>
        <w:pBdr>
          <w:bottom w:val="double" w:sz="6" w:space="1" w:color="auto"/>
        </w:pBdr>
        <w:ind w:left="360" w:hanging="360"/>
        <w:rPr>
          <w:rFonts w:eastAsia="Calibri" w:cstheme="minorHAnsi"/>
          <w:b/>
          <w:bCs/>
          <w:color w:val="0A0A0A"/>
        </w:rPr>
      </w:pPr>
      <w:r w:rsidRPr="00B029B0">
        <w:rPr>
          <w:rFonts w:eastAsia="Calibri" w:cstheme="minorHAnsi"/>
          <w:b/>
          <w:bCs/>
          <w:color w:val="0A0A0A"/>
        </w:rPr>
        <w:t xml:space="preserve">Standard </w:t>
      </w:r>
      <w:r w:rsidR="00C879BE" w:rsidRPr="00B029B0">
        <w:rPr>
          <w:rFonts w:eastAsia="Calibri" w:cstheme="minorHAnsi"/>
          <w:b/>
          <w:bCs/>
          <w:color w:val="0A0A0A"/>
        </w:rPr>
        <w:t>Six – Teaching, Learning, and Scholarship</w:t>
      </w:r>
    </w:p>
    <w:p w14:paraId="215B9879" w14:textId="77777777" w:rsidR="00D65F7D" w:rsidRPr="00B029B0" w:rsidRDefault="00D65F7D" w:rsidP="00D65F7D">
      <w:pPr>
        <w:pStyle w:val="paragraph"/>
        <w:spacing w:before="0" w:beforeAutospacing="0" w:after="0" w:afterAutospacing="0"/>
        <w:textAlignment w:val="baseline"/>
        <w:rPr>
          <w:rFonts w:asciiTheme="minorHAnsi" w:hAnsiTheme="minorHAnsi" w:cstheme="minorHAnsi"/>
          <w:color w:val="1F3763"/>
          <w:sz w:val="22"/>
          <w:szCs w:val="22"/>
        </w:rPr>
      </w:pPr>
      <w:r w:rsidRPr="00B029B0">
        <w:rPr>
          <w:rStyle w:val="normaltextrun"/>
          <w:rFonts w:asciiTheme="minorHAnsi" w:hAnsiTheme="minorHAnsi" w:cstheme="minorHAnsi"/>
          <w:b/>
          <w:bCs/>
          <w:color w:val="0A0A0A"/>
          <w:sz w:val="22"/>
          <w:szCs w:val="22"/>
        </w:rPr>
        <w:t>Faculty and Academic Staff</w:t>
      </w:r>
      <w:r w:rsidRPr="00B029B0">
        <w:rPr>
          <w:rStyle w:val="eop"/>
          <w:rFonts w:asciiTheme="minorHAnsi" w:hAnsiTheme="minorHAnsi" w:cstheme="minorHAnsi"/>
          <w:color w:val="0A0A0A"/>
          <w:sz w:val="22"/>
          <w:szCs w:val="22"/>
        </w:rPr>
        <w:t> </w:t>
      </w:r>
    </w:p>
    <w:p w14:paraId="47AE6BE4" w14:textId="3C48DD61" w:rsidR="00107C17" w:rsidRPr="00F86291" w:rsidRDefault="00107C17" w:rsidP="00D65F7D">
      <w:pPr>
        <w:pStyle w:val="paragraph"/>
        <w:spacing w:before="0" w:beforeAutospacing="0" w:after="0" w:afterAutospacing="0"/>
        <w:textAlignment w:val="baseline"/>
        <w:rPr>
          <w:rStyle w:val="eop"/>
          <w:rFonts w:asciiTheme="minorHAnsi" w:hAnsiTheme="minorHAnsi" w:cstheme="minorHAnsi"/>
          <w:color w:val="0A0A0A"/>
          <w:sz w:val="22"/>
          <w:szCs w:val="22"/>
        </w:rPr>
      </w:pPr>
      <w:r w:rsidRPr="00F86291">
        <w:rPr>
          <w:rStyle w:val="eop"/>
          <w:rFonts w:asciiTheme="minorHAnsi" w:hAnsiTheme="minorHAnsi" w:cstheme="minorHAnsi"/>
          <w:color w:val="0A0A0A"/>
          <w:sz w:val="22"/>
          <w:szCs w:val="22"/>
        </w:rPr>
        <w:t xml:space="preserve">6.1) </w:t>
      </w:r>
      <w:r w:rsidR="00BE2D02" w:rsidRPr="00F86291">
        <w:rPr>
          <w:rStyle w:val="eop"/>
          <w:rFonts w:asciiTheme="minorHAnsi" w:hAnsiTheme="minorHAnsi" w:cstheme="minorHAnsi"/>
          <w:color w:val="0A0A0A"/>
          <w:sz w:val="22"/>
          <w:szCs w:val="22"/>
        </w:rPr>
        <w:t xml:space="preserve">Well-qualified </w:t>
      </w:r>
      <w:r w:rsidR="00921BE4" w:rsidRPr="00F86291">
        <w:rPr>
          <w:rStyle w:val="eop"/>
          <w:rFonts w:asciiTheme="minorHAnsi" w:hAnsiTheme="minorHAnsi" w:cstheme="minorHAnsi"/>
          <w:color w:val="0A0A0A"/>
          <w:sz w:val="22"/>
          <w:szCs w:val="22"/>
        </w:rPr>
        <w:t xml:space="preserve">instructional </w:t>
      </w:r>
      <w:r w:rsidR="00BE2D02" w:rsidRPr="00F86291">
        <w:rPr>
          <w:rStyle w:val="eop"/>
          <w:rFonts w:asciiTheme="minorHAnsi" w:hAnsiTheme="minorHAnsi" w:cstheme="minorHAnsi"/>
          <w:color w:val="0A0A0A"/>
          <w:sz w:val="22"/>
          <w:szCs w:val="22"/>
        </w:rPr>
        <w:t>faculty</w:t>
      </w:r>
      <w:r w:rsidR="00921BE4" w:rsidRPr="00F86291">
        <w:rPr>
          <w:rStyle w:val="eop"/>
          <w:rFonts w:asciiTheme="minorHAnsi" w:hAnsiTheme="minorHAnsi" w:cstheme="minorHAnsi"/>
          <w:color w:val="0A0A0A"/>
          <w:sz w:val="22"/>
          <w:szCs w:val="22"/>
        </w:rPr>
        <w:t xml:space="preserve"> (Faculty)</w:t>
      </w:r>
      <w:r w:rsidR="00BE2D02" w:rsidRPr="00F86291">
        <w:rPr>
          <w:rStyle w:val="eop"/>
          <w:rFonts w:asciiTheme="minorHAnsi" w:hAnsiTheme="minorHAnsi" w:cstheme="minorHAnsi"/>
          <w:color w:val="0A0A0A"/>
          <w:sz w:val="22"/>
          <w:szCs w:val="22"/>
        </w:rPr>
        <w:t xml:space="preserve"> and </w:t>
      </w:r>
      <w:r w:rsidR="00921BE4" w:rsidRPr="00F86291">
        <w:rPr>
          <w:rStyle w:val="eop"/>
          <w:rFonts w:asciiTheme="minorHAnsi" w:hAnsiTheme="minorHAnsi" w:cstheme="minorHAnsi"/>
          <w:color w:val="0A0A0A"/>
          <w:sz w:val="22"/>
          <w:szCs w:val="22"/>
        </w:rPr>
        <w:t>administrative faculty</w:t>
      </w:r>
      <w:r w:rsidR="00BE2D02" w:rsidRPr="00F86291">
        <w:rPr>
          <w:rStyle w:val="eop"/>
          <w:rFonts w:asciiTheme="minorHAnsi" w:hAnsiTheme="minorHAnsi" w:cstheme="minorHAnsi"/>
          <w:color w:val="0A0A0A"/>
          <w:sz w:val="22"/>
          <w:szCs w:val="22"/>
        </w:rPr>
        <w:t xml:space="preserve"> are the core of student success at CCSU. </w:t>
      </w:r>
      <w:r w:rsidR="00921BE4" w:rsidRPr="00F86291">
        <w:rPr>
          <w:rStyle w:val="eop"/>
          <w:rFonts w:asciiTheme="minorHAnsi" w:hAnsiTheme="minorHAnsi" w:cstheme="minorHAnsi"/>
          <w:color w:val="0A0A0A"/>
          <w:sz w:val="22"/>
          <w:szCs w:val="22"/>
        </w:rPr>
        <w:t>They</w:t>
      </w:r>
      <w:r w:rsidR="00BE2D02" w:rsidRPr="00F86291">
        <w:rPr>
          <w:rStyle w:val="eop"/>
          <w:rFonts w:asciiTheme="minorHAnsi" w:hAnsiTheme="minorHAnsi" w:cstheme="minorHAnsi"/>
          <w:color w:val="0A0A0A"/>
          <w:sz w:val="22"/>
          <w:szCs w:val="22"/>
        </w:rPr>
        <w:t xml:space="preserve"> are provided with ample support, governing structures, and processes to carry out the University’s mission through teaching, student support</w:t>
      </w:r>
      <w:r w:rsidR="00D53A92">
        <w:rPr>
          <w:rStyle w:val="eop"/>
          <w:rFonts w:asciiTheme="minorHAnsi" w:hAnsiTheme="minorHAnsi" w:cstheme="minorHAnsi"/>
          <w:color w:val="0A0A0A"/>
          <w:sz w:val="22"/>
          <w:szCs w:val="22"/>
        </w:rPr>
        <w:t>,</w:t>
      </w:r>
      <w:r w:rsidR="00BE2D02" w:rsidRPr="00F86291">
        <w:rPr>
          <w:rStyle w:val="eop"/>
          <w:rFonts w:asciiTheme="minorHAnsi" w:hAnsiTheme="minorHAnsi" w:cstheme="minorHAnsi"/>
          <w:color w:val="0A0A0A"/>
          <w:sz w:val="22"/>
          <w:szCs w:val="22"/>
        </w:rPr>
        <w:t xml:space="preserve"> and professional development. CCSU’s full-time, tenured/tenure track </w:t>
      </w:r>
      <w:r w:rsidR="00921BE4" w:rsidRPr="00F86291">
        <w:rPr>
          <w:rStyle w:val="eop"/>
          <w:rFonts w:asciiTheme="minorHAnsi" w:hAnsiTheme="minorHAnsi" w:cstheme="minorHAnsi"/>
          <w:color w:val="0A0A0A"/>
          <w:sz w:val="22"/>
          <w:szCs w:val="22"/>
        </w:rPr>
        <w:t>F</w:t>
      </w:r>
      <w:r w:rsidR="00BE2D02" w:rsidRPr="00F86291">
        <w:rPr>
          <w:rStyle w:val="eop"/>
          <w:rFonts w:asciiTheme="minorHAnsi" w:hAnsiTheme="minorHAnsi" w:cstheme="minorHAnsi"/>
          <w:color w:val="0A0A0A"/>
          <w:sz w:val="22"/>
          <w:szCs w:val="22"/>
        </w:rPr>
        <w:t xml:space="preserve">aculty structure includes ranks of </w:t>
      </w:r>
      <w:r w:rsidR="00732DDF" w:rsidRPr="00F86291">
        <w:rPr>
          <w:rStyle w:val="eop"/>
          <w:rFonts w:asciiTheme="minorHAnsi" w:hAnsiTheme="minorHAnsi" w:cstheme="minorHAnsi"/>
          <w:color w:val="0A0A0A"/>
          <w:sz w:val="22"/>
          <w:szCs w:val="22"/>
        </w:rPr>
        <w:t xml:space="preserve">instructor, assistant professor, associate professor, and professor as </w:t>
      </w:r>
      <w:r w:rsidR="00732DDF" w:rsidRPr="00F86291">
        <w:rPr>
          <w:rStyle w:val="normaltextrun"/>
          <w:rFonts w:asciiTheme="minorHAnsi" w:hAnsiTheme="minorHAnsi" w:cstheme="minorHAnsi"/>
          <w:color w:val="212121"/>
          <w:sz w:val="22"/>
          <w:szCs w:val="22"/>
        </w:rPr>
        <w:t xml:space="preserve">defined by </w:t>
      </w:r>
      <w:hyperlink r:id="rId8" w:history="1">
        <w:r w:rsidR="00AA515E" w:rsidRPr="00F86291">
          <w:rPr>
            <w:rStyle w:val="Hyperlink"/>
            <w:rFonts w:asciiTheme="minorHAnsi" w:hAnsiTheme="minorHAnsi" w:cstheme="minorHAnsi"/>
            <w:sz w:val="22"/>
            <w:szCs w:val="22"/>
          </w:rPr>
          <w:t>CSU-AAUP Collective Bargaining Agreement</w:t>
        </w:r>
      </w:hyperlink>
      <w:r w:rsidR="00732DDF" w:rsidRPr="00F86291">
        <w:rPr>
          <w:rStyle w:val="normaltextrun"/>
          <w:rFonts w:asciiTheme="minorHAnsi" w:hAnsiTheme="minorHAnsi" w:cstheme="minorHAnsi"/>
          <w:color w:val="212121"/>
          <w:sz w:val="22"/>
          <w:szCs w:val="22"/>
        </w:rPr>
        <w:t xml:space="preserve"> (CBA). </w:t>
      </w:r>
      <w:r w:rsidR="0013410D" w:rsidRPr="00F86291">
        <w:rPr>
          <w:rStyle w:val="normaltextrun"/>
          <w:rFonts w:asciiTheme="minorHAnsi" w:hAnsiTheme="minorHAnsi" w:cstheme="minorHAnsi"/>
          <w:color w:val="212121"/>
          <w:sz w:val="22"/>
          <w:szCs w:val="22"/>
        </w:rPr>
        <w:t>The</w:t>
      </w:r>
      <w:r w:rsidR="0013410D" w:rsidRPr="005C7E68">
        <w:rPr>
          <w:rStyle w:val="normaltextrun"/>
          <w:rFonts w:asciiTheme="minorHAnsi" w:hAnsiTheme="minorHAnsi" w:cstheme="minorHAnsi"/>
          <w:color w:val="212121"/>
          <w:sz w:val="22"/>
          <w:szCs w:val="22"/>
        </w:rPr>
        <w:t xml:space="preserve"> </w:t>
      </w:r>
      <w:r w:rsidR="0013410D" w:rsidRPr="00F86291">
        <w:rPr>
          <w:rStyle w:val="normaltextrun"/>
          <w:rFonts w:asciiTheme="minorHAnsi" w:hAnsiTheme="minorHAnsi" w:cstheme="minorHAnsi"/>
          <w:color w:val="212121"/>
          <w:sz w:val="22"/>
          <w:szCs w:val="22"/>
        </w:rPr>
        <w:t>CBA</w:t>
      </w:r>
      <w:r w:rsidR="0089692D" w:rsidRPr="00F86291">
        <w:rPr>
          <w:rStyle w:val="normaltextrun"/>
          <w:rFonts w:asciiTheme="minorHAnsi" w:hAnsiTheme="minorHAnsi" w:cstheme="minorHAnsi"/>
          <w:color w:val="212121"/>
          <w:sz w:val="22"/>
          <w:szCs w:val="22"/>
        </w:rPr>
        <w:t xml:space="preserve"> also covers part-time </w:t>
      </w:r>
      <w:r w:rsidR="00921BE4" w:rsidRPr="00F86291">
        <w:rPr>
          <w:rStyle w:val="normaltextrun"/>
          <w:rFonts w:asciiTheme="minorHAnsi" w:hAnsiTheme="minorHAnsi" w:cstheme="minorHAnsi"/>
          <w:color w:val="212121"/>
          <w:sz w:val="22"/>
          <w:szCs w:val="22"/>
        </w:rPr>
        <w:t>Faculty</w:t>
      </w:r>
      <w:r w:rsidR="0089692D" w:rsidRPr="00F86291">
        <w:rPr>
          <w:rStyle w:val="normaltextrun"/>
          <w:rFonts w:asciiTheme="minorHAnsi" w:hAnsiTheme="minorHAnsi" w:cstheme="minorHAnsi"/>
          <w:color w:val="212121"/>
          <w:sz w:val="22"/>
          <w:szCs w:val="22"/>
        </w:rPr>
        <w:t>,</w:t>
      </w:r>
      <w:r w:rsidR="00363FF6" w:rsidRPr="00F86291">
        <w:rPr>
          <w:rStyle w:val="normaltextrun"/>
          <w:rFonts w:asciiTheme="minorHAnsi" w:hAnsiTheme="minorHAnsi" w:cstheme="minorHAnsi"/>
          <w:color w:val="212121"/>
          <w:sz w:val="22"/>
          <w:szCs w:val="22"/>
        </w:rPr>
        <w:t xml:space="preserve"> librarians, </w:t>
      </w:r>
      <w:r w:rsidR="00BF4FE3">
        <w:rPr>
          <w:rStyle w:val="normaltextrun"/>
          <w:rFonts w:asciiTheme="minorHAnsi" w:hAnsiTheme="minorHAnsi" w:cstheme="minorHAnsi"/>
          <w:color w:val="212121"/>
          <w:sz w:val="22"/>
          <w:szCs w:val="22"/>
        </w:rPr>
        <w:t xml:space="preserve">counselors, athletic trainers, and </w:t>
      </w:r>
      <w:r w:rsidR="00363FF6" w:rsidRPr="00F86291">
        <w:rPr>
          <w:rStyle w:val="normaltextrun"/>
          <w:rFonts w:asciiTheme="minorHAnsi" w:hAnsiTheme="minorHAnsi" w:cstheme="minorHAnsi"/>
          <w:color w:val="212121"/>
          <w:sz w:val="22"/>
          <w:szCs w:val="22"/>
        </w:rPr>
        <w:t>coaches,</w:t>
      </w:r>
      <w:r w:rsidR="007450B1" w:rsidRPr="00F86291">
        <w:rPr>
          <w:rStyle w:val="normaltextrun"/>
          <w:rFonts w:asciiTheme="minorHAnsi" w:hAnsiTheme="minorHAnsi" w:cstheme="minorHAnsi"/>
          <w:color w:val="212121"/>
          <w:sz w:val="22"/>
          <w:szCs w:val="22"/>
        </w:rPr>
        <w:t xml:space="preserve"> and</w:t>
      </w:r>
      <w:r w:rsidR="0079789F" w:rsidRPr="00F86291">
        <w:rPr>
          <w:rStyle w:val="normaltextrun"/>
          <w:rFonts w:asciiTheme="minorHAnsi" w:hAnsiTheme="minorHAnsi" w:cstheme="minorHAnsi"/>
          <w:color w:val="212121"/>
          <w:sz w:val="22"/>
          <w:szCs w:val="22"/>
        </w:rPr>
        <w:t xml:space="preserve"> </w:t>
      </w:r>
      <w:r w:rsidR="00BD6849" w:rsidRPr="00F86291">
        <w:rPr>
          <w:rStyle w:val="normaltextrun"/>
          <w:rFonts w:asciiTheme="minorHAnsi" w:hAnsiTheme="minorHAnsi" w:cstheme="minorHAnsi"/>
          <w:color w:val="212121"/>
          <w:sz w:val="22"/>
          <w:szCs w:val="22"/>
        </w:rPr>
        <w:t>outlines the shared governance agreement between the Connecticut State Universities and the Ameri</w:t>
      </w:r>
      <w:r w:rsidR="00AC2489" w:rsidRPr="00F86291">
        <w:rPr>
          <w:rStyle w:val="normaltextrun"/>
          <w:rFonts w:asciiTheme="minorHAnsi" w:hAnsiTheme="minorHAnsi" w:cstheme="minorHAnsi"/>
          <w:color w:val="212121"/>
          <w:sz w:val="22"/>
          <w:szCs w:val="22"/>
        </w:rPr>
        <w:t xml:space="preserve">can Association of University Professors (AAUP). </w:t>
      </w:r>
      <w:r w:rsidR="00BE2D02" w:rsidRPr="00F86291">
        <w:rPr>
          <w:rStyle w:val="eop"/>
          <w:rFonts w:asciiTheme="minorHAnsi" w:hAnsiTheme="minorHAnsi" w:cstheme="minorHAnsi"/>
          <w:color w:val="0A0A0A"/>
          <w:sz w:val="22"/>
          <w:szCs w:val="22"/>
        </w:rPr>
        <w:t xml:space="preserve">Full-time, tenured/tenure-track </w:t>
      </w:r>
      <w:r w:rsidR="007450B1" w:rsidRPr="00F86291">
        <w:rPr>
          <w:rStyle w:val="eop"/>
          <w:rFonts w:asciiTheme="minorHAnsi" w:hAnsiTheme="minorHAnsi" w:cstheme="minorHAnsi"/>
          <w:color w:val="0A0A0A"/>
          <w:sz w:val="22"/>
          <w:szCs w:val="22"/>
        </w:rPr>
        <w:t>F</w:t>
      </w:r>
      <w:r w:rsidR="00BE2D02" w:rsidRPr="00F86291">
        <w:rPr>
          <w:rStyle w:val="eop"/>
          <w:rFonts w:asciiTheme="minorHAnsi" w:hAnsiTheme="minorHAnsi" w:cstheme="minorHAnsi"/>
          <w:color w:val="0A0A0A"/>
          <w:sz w:val="22"/>
          <w:szCs w:val="22"/>
        </w:rPr>
        <w:t xml:space="preserve">aculty </w:t>
      </w:r>
      <w:r w:rsidR="001A7D7E" w:rsidRPr="00F86291">
        <w:rPr>
          <w:rStyle w:val="eop"/>
          <w:rFonts w:asciiTheme="minorHAnsi" w:hAnsiTheme="minorHAnsi" w:cstheme="minorHAnsi"/>
          <w:color w:val="0A0A0A"/>
          <w:sz w:val="22"/>
          <w:szCs w:val="22"/>
        </w:rPr>
        <w:t>carry 12 load credits per semester</w:t>
      </w:r>
      <w:r w:rsidR="00022DF6" w:rsidRPr="00F86291">
        <w:rPr>
          <w:rStyle w:val="eop"/>
          <w:rFonts w:asciiTheme="minorHAnsi" w:hAnsiTheme="minorHAnsi" w:cstheme="minorHAnsi"/>
          <w:color w:val="0A0A0A"/>
          <w:sz w:val="22"/>
          <w:szCs w:val="22"/>
        </w:rPr>
        <w:t>. Instruction is also</w:t>
      </w:r>
      <w:r w:rsidR="00BE2D02" w:rsidRPr="00F86291">
        <w:rPr>
          <w:rStyle w:val="eop"/>
          <w:rFonts w:asciiTheme="minorHAnsi" w:hAnsiTheme="minorHAnsi" w:cstheme="minorHAnsi"/>
          <w:color w:val="0A0A0A"/>
          <w:sz w:val="22"/>
          <w:szCs w:val="22"/>
        </w:rPr>
        <w:t xml:space="preserve"> supplemented with part-time </w:t>
      </w:r>
      <w:r w:rsidR="007450B1" w:rsidRPr="00F86291">
        <w:rPr>
          <w:rStyle w:val="eop"/>
          <w:rFonts w:asciiTheme="minorHAnsi" w:hAnsiTheme="minorHAnsi" w:cstheme="minorHAnsi"/>
          <w:color w:val="0A0A0A"/>
          <w:sz w:val="22"/>
          <w:szCs w:val="22"/>
        </w:rPr>
        <w:t>F</w:t>
      </w:r>
      <w:r w:rsidR="00BE2D02" w:rsidRPr="00F86291">
        <w:rPr>
          <w:rStyle w:val="eop"/>
          <w:rFonts w:asciiTheme="minorHAnsi" w:hAnsiTheme="minorHAnsi" w:cstheme="minorHAnsi"/>
          <w:color w:val="0A0A0A"/>
          <w:sz w:val="22"/>
          <w:szCs w:val="22"/>
        </w:rPr>
        <w:t>aculty who teach on a course-by-course basis or with full-time special appointment</w:t>
      </w:r>
      <w:r w:rsidR="001F47DE" w:rsidRPr="00F86291">
        <w:rPr>
          <w:rStyle w:val="eop"/>
          <w:rFonts w:asciiTheme="minorHAnsi" w:hAnsiTheme="minorHAnsi" w:cstheme="minorHAnsi"/>
          <w:color w:val="0A0A0A"/>
          <w:sz w:val="22"/>
          <w:szCs w:val="22"/>
        </w:rPr>
        <w:t>.</w:t>
      </w:r>
      <w:r w:rsidR="00CB3046" w:rsidRPr="00F86291">
        <w:rPr>
          <w:rStyle w:val="eop"/>
          <w:rFonts w:asciiTheme="minorHAnsi" w:hAnsiTheme="minorHAnsi" w:cstheme="minorHAnsi"/>
          <w:color w:val="0A0A0A"/>
          <w:sz w:val="22"/>
          <w:szCs w:val="22"/>
        </w:rPr>
        <w:t xml:space="preserve"> </w:t>
      </w:r>
    </w:p>
    <w:p w14:paraId="1432AD1F" w14:textId="77777777" w:rsidR="00107C17" w:rsidRPr="00F86291" w:rsidRDefault="00107C17" w:rsidP="00D65F7D">
      <w:pPr>
        <w:pStyle w:val="paragraph"/>
        <w:spacing w:before="0" w:beforeAutospacing="0" w:after="0" w:afterAutospacing="0"/>
        <w:textAlignment w:val="baseline"/>
        <w:rPr>
          <w:rStyle w:val="eop"/>
          <w:rFonts w:asciiTheme="minorHAnsi" w:hAnsiTheme="minorHAnsi" w:cstheme="minorHAnsi"/>
          <w:color w:val="0A0A0A"/>
          <w:sz w:val="22"/>
          <w:szCs w:val="22"/>
        </w:rPr>
      </w:pPr>
    </w:p>
    <w:p w14:paraId="6D695A74" w14:textId="2B01CE3B" w:rsidR="00D65F7D" w:rsidRPr="00F86291" w:rsidRDefault="001D3A60" w:rsidP="005E0541">
      <w:pPr>
        <w:pStyle w:val="paragraph"/>
        <w:spacing w:before="0" w:beforeAutospacing="0" w:after="0" w:afterAutospacing="0"/>
        <w:textAlignment w:val="baseline"/>
        <w:rPr>
          <w:rFonts w:asciiTheme="minorHAnsi" w:hAnsiTheme="minorHAnsi" w:cstheme="minorHAnsi"/>
          <w:sz w:val="22"/>
          <w:szCs w:val="22"/>
        </w:rPr>
      </w:pPr>
      <w:r w:rsidRPr="00F86291">
        <w:rPr>
          <w:rStyle w:val="normaltextrun"/>
          <w:rFonts w:asciiTheme="minorHAnsi" w:hAnsiTheme="minorHAnsi" w:cstheme="minorHAnsi"/>
          <w:color w:val="212121"/>
          <w:sz w:val="22"/>
          <w:szCs w:val="22"/>
        </w:rPr>
        <w:t xml:space="preserve">6.1) </w:t>
      </w:r>
      <w:r w:rsidR="00D45830" w:rsidRPr="00F86291">
        <w:rPr>
          <w:rStyle w:val="normaltextrun"/>
          <w:rFonts w:asciiTheme="minorHAnsi" w:hAnsiTheme="minorHAnsi" w:cstheme="minorHAnsi"/>
          <w:color w:val="212121"/>
          <w:sz w:val="22"/>
          <w:szCs w:val="22"/>
        </w:rPr>
        <w:t>F</w:t>
      </w:r>
      <w:r w:rsidR="00D65F7D" w:rsidRPr="00F86291">
        <w:rPr>
          <w:rStyle w:val="normaltextrun"/>
          <w:rFonts w:asciiTheme="minorHAnsi" w:hAnsiTheme="minorHAnsi" w:cstheme="minorHAnsi"/>
          <w:color w:val="212121"/>
          <w:sz w:val="22"/>
          <w:szCs w:val="22"/>
        </w:rPr>
        <w:t xml:space="preserve">aculty are assigned to a specific academic department within </w:t>
      </w:r>
      <w:r w:rsidR="00AB7097" w:rsidRPr="00F86291">
        <w:rPr>
          <w:rStyle w:val="normaltextrun"/>
          <w:rFonts w:asciiTheme="minorHAnsi" w:hAnsiTheme="minorHAnsi" w:cstheme="minorHAnsi"/>
          <w:color w:val="212121"/>
          <w:sz w:val="22"/>
          <w:szCs w:val="22"/>
        </w:rPr>
        <w:t>each</w:t>
      </w:r>
      <w:r w:rsidR="00323769" w:rsidRPr="00F86291">
        <w:rPr>
          <w:rStyle w:val="normaltextrun"/>
          <w:rFonts w:asciiTheme="minorHAnsi" w:hAnsiTheme="minorHAnsi" w:cstheme="minorHAnsi"/>
          <w:color w:val="212121"/>
          <w:sz w:val="22"/>
          <w:szCs w:val="22"/>
        </w:rPr>
        <w:t xml:space="preserve"> college</w:t>
      </w:r>
      <w:r w:rsidR="00AB7097" w:rsidRPr="00F86291">
        <w:rPr>
          <w:rStyle w:val="normaltextrun"/>
          <w:rFonts w:asciiTheme="minorHAnsi" w:hAnsiTheme="minorHAnsi" w:cstheme="minorHAnsi"/>
          <w:color w:val="212121"/>
          <w:sz w:val="22"/>
          <w:szCs w:val="22"/>
        </w:rPr>
        <w:t>/</w:t>
      </w:r>
      <w:r w:rsidR="00D65F7D" w:rsidRPr="00F86291">
        <w:rPr>
          <w:rStyle w:val="normaltextrun"/>
          <w:rFonts w:asciiTheme="minorHAnsi" w:hAnsiTheme="minorHAnsi" w:cstheme="minorHAnsi"/>
          <w:color w:val="212121"/>
          <w:sz w:val="22"/>
          <w:szCs w:val="22"/>
        </w:rPr>
        <w:t xml:space="preserve">school of the </w:t>
      </w:r>
      <w:r w:rsidR="00AB7097" w:rsidRPr="00F86291">
        <w:rPr>
          <w:rStyle w:val="normaltextrun"/>
          <w:rFonts w:asciiTheme="minorHAnsi" w:hAnsiTheme="minorHAnsi" w:cstheme="minorHAnsi"/>
          <w:color w:val="212121"/>
          <w:sz w:val="22"/>
          <w:szCs w:val="22"/>
        </w:rPr>
        <w:t>University</w:t>
      </w:r>
      <w:r w:rsidR="00D65F7D" w:rsidRPr="00F86291">
        <w:rPr>
          <w:rStyle w:val="normaltextrun"/>
          <w:rFonts w:asciiTheme="minorHAnsi" w:hAnsiTheme="minorHAnsi" w:cstheme="minorHAnsi"/>
          <w:color w:val="212121"/>
          <w:sz w:val="22"/>
          <w:szCs w:val="22"/>
        </w:rPr>
        <w:t xml:space="preserve">. </w:t>
      </w:r>
      <w:r w:rsidR="00F66015" w:rsidRPr="00F86291">
        <w:rPr>
          <w:rStyle w:val="normaltextrun"/>
          <w:rFonts w:asciiTheme="minorHAnsi" w:hAnsiTheme="minorHAnsi" w:cstheme="minorHAnsi"/>
          <w:color w:val="212121"/>
          <w:sz w:val="22"/>
          <w:szCs w:val="22"/>
        </w:rPr>
        <w:t>All</w:t>
      </w:r>
      <w:r w:rsidR="00D65F7D" w:rsidRPr="00F86291">
        <w:rPr>
          <w:rStyle w:val="normaltextrun"/>
          <w:rFonts w:asciiTheme="minorHAnsi" w:hAnsiTheme="minorHAnsi" w:cstheme="minorHAnsi"/>
          <w:color w:val="212121"/>
          <w:sz w:val="22"/>
          <w:szCs w:val="22"/>
        </w:rPr>
        <w:t xml:space="preserve"> </w:t>
      </w:r>
      <w:r w:rsidR="00F66015" w:rsidRPr="00F86291">
        <w:rPr>
          <w:rStyle w:val="normaltextrun"/>
          <w:rFonts w:asciiTheme="minorHAnsi" w:hAnsiTheme="minorHAnsi" w:cstheme="minorHAnsi"/>
          <w:color w:val="212121"/>
          <w:sz w:val="22"/>
          <w:szCs w:val="22"/>
        </w:rPr>
        <w:t>courses are</w:t>
      </w:r>
      <w:r w:rsidR="00D65F7D" w:rsidRPr="00F86291">
        <w:rPr>
          <w:rStyle w:val="normaltextrun"/>
          <w:rFonts w:asciiTheme="minorHAnsi" w:hAnsiTheme="minorHAnsi" w:cstheme="minorHAnsi"/>
          <w:color w:val="212121"/>
          <w:sz w:val="22"/>
          <w:szCs w:val="22"/>
        </w:rPr>
        <w:t xml:space="preserve"> taught by full- or </w:t>
      </w:r>
      <w:r w:rsidR="00C73E37" w:rsidRPr="00F86291">
        <w:rPr>
          <w:rStyle w:val="normaltextrun"/>
          <w:rFonts w:asciiTheme="minorHAnsi" w:hAnsiTheme="minorHAnsi" w:cstheme="minorHAnsi"/>
          <w:color w:val="212121"/>
          <w:sz w:val="22"/>
          <w:szCs w:val="22"/>
        </w:rPr>
        <w:t xml:space="preserve">part-time </w:t>
      </w:r>
      <w:r w:rsidR="00D45830" w:rsidRPr="00F86291">
        <w:rPr>
          <w:rStyle w:val="normaltextrun"/>
          <w:rFonts w:asciiTheme="minorHAnsi" w:hAnsiTheme="minorHAnsi" w:cstheme="minorHAnsi"/>
          <w:color w:val="212121"/>
          <w:sz w:val="22"/>
          <w:szCs w:val="22"/>
        </w:rPr>
        <w:t>F</w:t>
      </w:r>
      <w:r w:rsidR="00D65F7D" w:rsidRPr="00F86291">
        <w:rPr>
          <w:rStyle w:val="normaltextrun"/>
          <w:rFonts w:asciiTheme="minorHAnsi" w:hAnsiTheme="minorHAnsi" w:cstheme="minorHAnsi"/>
          <w:color w:val="212121"/>
          <w:sz w:val="22"/>
          <w:szCs w:val="22"/>
        </w:rPr>
        <w:t xml:space="preserve">aculty members. Academic deans and the Provost, together with the Office of Equity and Inclusion, monitor and evaluate the composition of the faculty, especially during the search process. New </w:t>
      </w:r>
      <w:r w:rsidR="00D45830" w:rsidRPr="00F86291">
        <w:rPr>
          <w:rStyle w:val="normaltextrun"/>
          <w:rFonts w:asciiTheme="minorHAnsi" w:hAnsiTheme="minorHAnsi" w:cstheme="minorHAnsi"/>
          <w:color w:val="212121"/>
          <w:sz w:val="22"/>
          <w:szCs w:val="22"/>
        </w:rPr>
        <w:t xml:space="preserve">Faculty </w:t>
      </w:r>
      <w:r w:rsidR="00D65F7D" w:rsidRPr="00F86291">
        <w:rPr>
          <w:rStyle w:val="normaltextrun"/>
          <w:rFonts w:asciiTheme="minorHAnsi" w:hAnsiTheme="minorHAnsi" w:cstheme="minorHAnsi"/>
          <w:color w:val="212121"/>
          <w:sz w:val="22"/>
          <w:szCs w:val="22"/>
        </w:rPr>
        <w:t xml:space="preserve">lines are awarded using criteria that </w:t>
      </w:r>
      <w:r w:rsidR="00696956" w:rsidRPr="00F86291">
        <w:rPr>
          <w:rStyle w:val="normaltextrun"/>
          <w:rFonts w:asciiTheme="minorHAnsi" w:hAnsiTheme="minorHAnsi" w:cstheme="minorHAnsi"/>
          <w:color w:val="212121"/>
          <w:sz w:val="22"/>
          <w:szCs w:val="22"/>
        </w:rPr>
        <w:t>align with the SP2030</w:t>
      </w:r>
      <w:r w:rsidR="00D65F7D" w:rsidRPr="00F86291">
        <w:rPr>
          <w:rStyle w:val="normaltextrun"/>
          <w:rFonts w:asciiTheme="minorHAnsi" w:hAnsiTheme="minorHAnsi" w:cstheme="minorHAnsi"/>
          <w:color w:val="212121"/>
          <w:sz w:val="22"/>
          <w:szCs w:val="22"/>
        </w:rPr>
        <w:t>, student demand</w:t>
      </w:r>
      <w:r w:rsidR="005C1F64" w:rsidRPr="00F86291">
        <w:rPr>
          <w:rStyle w:val="normaltextrun"/>
          <w:rFonts w:asciiTheme="minorHAnsi" w:hAnsiTheme="minorHAnsi" w:cstheme="minorHAnsi"/>
          <w:color w:val="212121"/>
          <w:sz w:val="22"/>
          <w:szCs w:val="22"/>
        </w:rPr>
        <w:t xml:space="preserve">, and </w:t>
      </w:r>
      <w:r w:rsidR="00D65F7D" w:rsidRPr="00F86291">
        <w:rPr>
          <w:rStyle w:val="normaltextrun"/>
          <w:rFonts w:asciiTheme="minorHAnsi" w:hAnsiTheme="minorHAnsi" w:cstheme="minorHAnsi"/>
          <w:color w:val="212121"/>
          <w:sz w:val="22"/>
          <w:szCs w:val="22"/>
        </w:rPr>
        <w:t>instructional needs</w:t>
      </w:r>
      <w:r w:rsidR="005C1F64" w:rsidRPr="00F86291">
        <w:rPr>
          <w:rStyle w:val="normaltextrun"/>
          <w:rFonts w:asciiTheme="minorHAnsi" w:hAnsiTheme="minorHAnsi" w:cstheme="minorHAnsi"/>
          <w:color w:val="212121"/>
          <w:sz w:val="22"/>
          <w:szCs w:val="22"/>
        </w:rPr>
        <w:t>;</w:t>
      </w:r>
      <w:r w:rsidR="004630D8" w:rsidRPr="00F86291">
        <w:rPr>
          <w:rStyle w:val="normaltextrun"/>
          <w:rFonts w:asciiTheme="minorHAnsi" w:hAnsiTheme="minorHAnsi" w:cstheme="minorHAnsi"/>
          <w:color w:val="212121"/>
          <w:sz w:val="22"/>
          <w:szCs w:val="22"/>
        </w:rPr>
        <w:t xml:space="preserve"> </w:t>
      </w:r>
      <w:r w:rsidR="00DD3C77">
        <w:rPr>
          <w:rStyle w:val="normaltextrun"/>
          <w:rFonts w:asciiTheme="minorHAnsi" w:hAnsiTheme="minorHAnsi" w:cstheme="minorHAnsi"/>
          <w:color w:val="212121"/>
          <w:sz w:val="22"/>
          <w:szCs w:val="22"/>
        </w:rPr>
        <w:t xml:space="preserve">any new </w:t>
      </w:r>
      <w:r w:rsidR="004630D8" w:rsidRPr="00F86291">
        <w:rPr>
          <w:rStyle w:val="normaltextrun"/>
          <w:rFonts w:asciiTheme="minorHAnsi" w:hAnsiTheme="minorHAnsi" w:cstheme="minorHAnsi"/>
          <w:color w:val="212121"/>
          <w:sz w:val="22"/>
          <w:szCs w:val="22"/>
        </w:rPr>
        <w:t>hiring priorities are presented to the UPBC during the budget cycle</w:t>
      </w:r>
      <w:r w:rsidR="00D65F7D" w:rsidRPr="00F86291">
        <w:rPr>
          <w:rStyle w:val="normaltextrun"/>
          <w:rFonts w:asciiTheme="minorHAnsi" w:hAnsiTheme="minorHAnsi" w:cstheme="minorHAnsi"/>
          <w:color w:val="212121"/>
          <w:sz w:val="22"/>
          <w:szCs w:val="22"/>
        </w:rPr>
        <w:t xml:space="preserve">. </w:t>
      </w:r>
      <w:r w:rsidR="00D65F7D" w:rsidRPr="00F86291">
        <w:rPr>
          <w:rStyle w:val="eop"/>
          <w:rFonts w:asciiTheme="minorHAnsi" w:hAnsiTheme="minorHAnsi" w:cstheme="minorHAnsi"/>
          <w:color w:val="212121"/>
          <w:sz w:val="22"/>
          <w:szCs w:val="22"/>
        </w:rPr>
        <w:t> </w:t>
      </w:r>
      <w:r w:rsidR="00D65F7D" w:rsidRPr="00F86291">
        <w:rPr>
          <w:rStyle w:val="eop"/>
          <w:rFonts w:asciiTheme="minorHAnsi" w:hAnsiTheme="minorHAnsi" w:cstheme="minorHAnsi"/>
          <w:sz w:val="22"/>
          <w:szCs w:val="22"/>
        </w:rPr>
        <w:t> </w:t>
      </w:r>
    </w:p>
    <w:p w14:paraId="29D546D1" w14:textId="3A44CB1D" w:rsidR="00A50268" w:rsidRPr="00F86291" w:rsidRDefault="00124C19" w:rsidP="005E0541">
      <w:pPr>
        <w:pStyle w:val="paragraph"/>
        <w:spacing w:after="0"/>
        <w:textAlignment w:val="baseline"/>
        <w:rPr>
          <w:rStyle w:val="normaltextrun"/>
          <w:rFonts w:asciiTheme="minorHAnsi" w:hAnsiTheme="minorHAnsi" w:cstheme="minorHAnsi"/>
          <w:color w:val="0A0A0A"/>
          <w:sz w:val="22"/>
          <w:szCs w:val="22"/>
        </w:rPr>
      </w:pPr>
      <w:r w:rsidRPr="00F86291">
        <w:rPr>
          <w:rStyle w:val="pagebreaktextspan"/>
          <w:rFonts w:asciiTheme="minorHAnsi" w:hAnsiTheme="minorHAnsi" w:cstheme="minorHAnsi"/>
          <w:color w:val="000000" w:themeColor="text1"/>
          <w:sz w:val="22"/>
          <w:szCs w:val="22"/>
          <w:shd w:val="clear" w:color="auto" w:fill="FFFFFF"/>
        </w:rPr>
        <w:t xml:space="preserve">6.2) </w:t>
      </w:r>
      <w:r w:rsidR="00984D45" w:rsidRPr="00F86291">
        <w:rPr>
          <w:rStyle w:val="pagebreaktextspan"/>
          <w:rFonts w:asciiTheme="minorHAnsi" w:hAnsiTheme="minorHAnsi" w:cstheme="minorHAnsi"/>
          <w:color w:val="000000" w:themeColor="text1"/>
          <w:sz w:val="22"/>
          <w:szCs w:val="22"/>
          <w:shd w:val="clear" w:color="auto" w:fill="FFFFFF"/>
        </w:rPr>
        <w:t xml:space="preserve">CCSU </w:t>
      </w:r>
      <w:r w:rsidR="00847DD5" w:rsidRPr="00F86291">
        <w:rPr>
          <w:rStyle w:val="pagebreaktextspan"/>
          <w:rFonts w:asciiTheme="minorHAnsi" w:hAnsiTheme="minorHAnsi" w:cstheme="minorHAnsi"/>
          <w:color w:val="000000" w:themeColor="text1"/>
          <w:sz w:val="22"/>
          <w:szCs w:val="22"/>
          <w:shd w:val="clear" w:color="auto" w:fill="FFFFFF"/>
        </w:rPr>
        <w:t>has</w:t>
      </w:r>
      <w:r w:rsidR="00984D45" w:rsidRPr="00F86291">
        <w:rPr>
          <w:rStyle w:val="pagebreaktextspan"/>
          <w:rFonts w:asciiTheme="minorHAnsi" w:hAnsiTheme="minorHAnsi" w:cstheme="minorHAnsi"/>
          <w:color w:val="000000" w:themeColor="text1"/>
          <w:sz w:val="22"/>
          <w:szCs w:val="22"/>
          <w:shd w:val="clear" w:color="auto" w:fill="FFFFFF"/>
        </w:rPr>
        <w:t xml:space="preserve"> an appropriate number of </w:t>
      </w:r>
      <w:r w:rsidR="00D45830" w:rsidRPr="00F86291">
        <w:rPr>
          <w:rStyle w:val="pagebreaktextspan"/>
          <w:rFonts w:asciiTheme="minorHAnsi" w:hAnsiTheme="minorHAnsi" w:cstheme="minorHAnsi"/>
          <w:color w:val="000000" w:themeColor="text1"/>
          <w:sz w:val="22"/>
          <w:szCs w:val="22"/>
          <w:shd w:val="clear" w:color="auto" w:fill="FFFFFF"/>
        </w:rPr>
        <w:t>F</w:t>
      </w:r>
      <w:r w:rsidR="00984D45" w:rsidRPr="00F86291">
        <w:rPr>
          <w:rStyle w:val="pagebreaktextspan"/>
          <w:rFonts w:asciiTheme="minorHAnsi" w:hAnsiTheme="minorHAnsi" w:cstheme="minorHAnsi"/>
          <w:color w:val="000000" w:themeColor="text1"/>
          <w:sz w:val="22"/>
          <w:szCs w:val="22"/>
          <w:shd w:val="clear" w:color="auto" w:fill="FFFFFF"/>
        </w:rPr>
        <w:t>aculty</w:t>
      </w:r>
      <w:r w:rsidR="00C60D4F" w:rsidRPr="00F86291">
        <w:rPr>
          <w:rStyle w:val="pagebreaktextspan"/>
          <w:rFonts w:asciiTheme="minorHAnsi" w:hAnsiTheme="minorHAnsi" w:cstheme="minorHAnsi"/>
          <w:color w:val="000000" w:themeColor="text1"/>
          <w:sz w:val="22"/>
          <w:szCs w:val="22"/>
          <w:shd w:val="clear" w:color="auto" w:fill="FFFFFF"/>
        </w:rPr>
        <w:t xml:space="preserve"> (</w:t>
      </w:r>
      <w:r w:rsidR="00C60D4F" w:rsidRPr="00F86291">
        <w:rPr>
          <w:rStyle w:val="normaltextrun"/>
          <w:rFonts w:asciiTheme="minorHAnsi" w:hAnsiTheme="minorHAnsi" w:cstheme="minorHAnsi"/>
          <w:sz w:val="22"/>
          <w:szCs w:val="22"/>
        </w:rPr>
        <w:t>392 full-time and 438 part-time)</w:t>
      </w:r>
      <w:r w:rsidR="007B33D0" w:rsidRPr="00F86291">
        <w:rPr>
          <w:rStyle w:val="normaltextrun"/>
          <w:rFonts w:asciiTheme="minorHAnsi" w:hAnsiTheme="minorHAnsi" w:cstheme="minorHAnsi"/>
          <w:sz w:val="22"/>
          <w:szCs w:val="22"/>
        </w:rPr>
        <w:t xml:space="preserve"> and </w:t>
      </w:r>
      <w:r w:rsidR="000D6EAB">
        <w:rPr>
          <w:rStyle w:val="normaltextrun"/>
          <w:rFonts w:asciiTheme="minorHAnsi" w:hAnsiTheme="minorHAnsi" w:cstheme="minorHAnsi"/>
          <w:sz w:val="22"/>
          <w:szCs w:val="22"/>
        </w:rPr>
        <w:t xml:space="preserve">administrative faculty who </w:t>
      </w:r>
      <w:r w:rsidR="008E10CA">
        <w:rPr>
          <w:rStyle w:val="normaltextrun"/>
          <w:rFonts w:asciiTheme="minorHAnsi" w:hAnsiTheme="minorHAnsi" w:cstheme="minorHAnsi"/>
          <w:sz w:val="22"/>
          <w:szCs w:val="22"/>
        </w:rPr>
        <w:t>provide</w:t>
      </w:r>
      <w:r w:rsidR="000D6EAB">
        <w:rPr>
          <w:rStyle w:val="normaltextrun"/>
          <w:rFonts w:asciiTheme="minorHAnsi" w:hAnsiTheme="minorHAnsi" w:cstheme="minorHAnsi"/>
          <w:sz w:val="22"/>
          <w:szCs w:val="22"/>
        </w:rPr>
        <w:t xml:space="preserve"> </w:t>
      </w:r>
      <w:r w:rsidR="007B33D0" w:rsidRPr="00F86291">
        <w:rPr>
          <w:rStyle w:val="normaltextrun"/>
          <w:rFonts w:asciiTheme="minorHAnsi" w:hAnsiTheme="minorHAnsi" w:cstheme="minorHAnsi"/>
          <w:sz w:val="22"/>
          <w:szCs w:val="22"/>
        </w:rPr>
        <w:t xml:space="preserve">academic support </w:t>
      </w:r>
      <w:r w:rsidR="008E10CA">
        <w:rPr>
          <w:rStyle w:val="normaltextrun"/>
          <w:rFonts w:asciiTheme="minorHAnsi" w:hAnsiTheme="minorHAnsi" w:cstheme="minorHAnsi"/>
          <w:sz w:val="22"/>
          <w:szCs w:val="22"/>
        </w:rPr>
        <w:t xml:space="preserve">to </w:t>
      </w:r>
      <w:r w:rsidR="00984D45" w:rsidRPr="00F86291">
        <w:rPr>
          <w:rStyle w:val="pagebreaktextspan"/>
          <w:rFonts w:asciiTheme="minorHAnsi" w:hAnsiTheme="minorHAnsi" w:cstheme="minorHAnsi"/>
          <w:color w:val="000000" w:themeColor="text1"/>
          <w:sz w:val="22"/>
          <w:szCs w:val="22"/>
          <w:shd w:val="clear" w:color="auto" w:fill="FFFFFF"/>
        </w:rPr>
        <w:t>the student population</w:t>
      </w:r>
      <w:r w:rsidR="00321DE5">
        <w:rPr>
          <w:rStyle w:val="pagebreaktextspan"/>
          <w:rFonts w:asciiTheme="minorHAnsi" w:hAnsiTheme="minorHAnsi" w:cstheme="minorHAnsi"/>
          <w:color w:val="000000" w:themeColor="text1"/>
          <w:sz w:val="22"/>
          <w:szCs w:val="22"/>
          <w:shd w:val="clear" w:color="auto" w:fill="FFFFFF"/>
        </w:rPr>
        <w:t xml:space="preserve">. </w:t>
      </w:r>
      <w:r w:rsidR="004608AA">
        <w:rPr>
          <w:rStyle w:val="pagebreaktextspan"/>
          <w:rFonts w:asciiTheme="minorHAnsi" w:hAnsiTheme="minorHAnsi" w:cstheme="minorHAnsi"/>
          <w:color w:val="000000" w:themeColor="text1"/>
          <w:sz w:val="22"/>
          <w:szCs w:val="22"/>
          <w:shd w:val="clear" w:color="auto" w:fill="FFFFFF"/>
        </w:rPr>
        <w:t xml:space="preserve">CCSU </w:t>
      </w:r>
      <w:r w:rsidR="00E33243" w:rsidRPr="00F86291">
        <w:rPr>
          <w:rStyle w:val="pagebreaktextspan"/>
          <w:rFonts w:asciiTheme="minorHAnsi" w:hAnsiTheme="minorHAnsi" w:cstheme="minorHAnsi"/>
          <w:color w:val="000000" w:themeColor="text1"/>
          <w:sz w:val="22"/>
          <w:szCs w:val="22"/>
          <w:shd w:val="clear" w:color="auto" w:fill="FFFFFF"/>
        </w:rPr>
        <w:t xml:space="preserve">has </w:t>
      </w:r>
      <w:r w:rsidR="00CC5FAF" w:rsidRPr="00F86291">
        <w:rPr>
          <w:rStyle w:val="pagebreaktextspan"/>
          <w:rFonts w:asciiTheme="minorHAnsi" w:hAnsiTheme="minorHAnsi" w:cstheme="minorHAnsi"/>
          <w:color w:val="000000" w:themeColor="text1"/>
          <w:sz w:val="22"/>
          <w:szCs w:val="22"/>
          <w:shd w:val="clear" w:color="auto" w:fill="FFFFFF"/>
        </w:rPr>
        <w:t xml:space="preserve">maintained </w:t>
      </w:r>
      <w:r w:rsidR="00E33243" w:rsidRPr="00F86291">
        <w:rPr>
          <w:rStyle w:val="pagebreaktextspan"/>
          <w:rFonts w:asciiTheme="minorHAnsi" w:hAnsiTheme="minorHAnsi" w:cstheme="minorHAnsi"/>
          <w:color w:val="000000" w:themeColor="text1"/>
          <w:sz w:val="22"/>
          <w:szCs w:val="22"/>
          <w:shd w:val="clear" w:color="auto" w:fill="FFFFFF"/>
        </w:rPr>
        <w:t xml:space="preserve">a student to </w:t>
      </w:r>
      <w:r w:rsidR="00D45830" w:rsidRPr="00F86291">
        <w:rPr>
          <w:rStyle w:val="pagebreaktextspan"/>
          <w:rFonts w:asciiTheme="minorHAnsi" w:hAnsiTheme="minorHAnsi" w:cstheme="minorHAnsi"/>
          <w:color w:val="000000" w:themeColor="text1"/>
          <w:sz w:val="22"/>
          <w:szCs w:val="22"/>
          <w:shd w:val="clear" w:color="auto" w:fill="FFFFFF"/>
        </w:rPr>
        <w:t>F</w:t>
      </w:r>
      <w:r w:rsidR="00E33243" w:rsidRPr="00F86291">
        <w:rPr>
          <w:rStyle w:val="pagebreaktextspan"/>
          <w:rFonts w:asciiTheme="minorHAnsi" w:hAnsiTheme="minorHAnsi" w:cstheme="minorHAnsi"/>
          <w:color w:val="000000" w:themeColor="text1"/>
          <w:sz w:val="22"/>
          <w:szCs w:val="22"/>
          <w:shd w:val="clear" w:color="auto" w:fill="FFFFFF"/>
        </w:rPr>
        <w:t xml:space="preserve">aculty ratio of </w:t>
      </w:r>
      <w:r w:rsidR="0088306F" w:rsidRPr="00F86291">
        <w:rPr>
          <w:rStyle w:val="pagebreaktextspan"/>
          <w:rFonts w:asciiTheme="minorHAnsi" w:hAnsiTheme="minorHAnsi" w:cstheme="minorHAnsi"/>
          <w:color w:val="000000" w:themeColor="text1"/>
          <w:sz w:val="22"/>
          <w:szCs w:val="22"/>
          <w:shd w:val="clear" w:color="auto" w:fill="FFFFFF"/>
        </w:rPr>
        <w:t>14:1</w:t>
      </w:r>
      <w:r w:rsidR="00867D94" w:rsidRPr="00F86291">
        <w:rPr>
          <w:rStyle w:val="pagebreaktextspan"/>
          <w:rFonts w:asciiTheme="minorHAnsi" w:hAnsiTheme="minorHAnsi" w:cstheme="minorHAnsi"/>
          <w:color w:val="000000" w:themeColor="text1"/>
          <w:sz w:val="22"/>
          <w:szCs w:val="22"/>
          <w:shd w:val="clear" w:color="auto" w:fill="FFFFFF"/>
        </w:rPr>
        <w:t xml:space="preserve"> since Fall 2019</w:t>
      </w:r>
      <w:r w:rsidR="00BC3236">
        <w:rPr>
          <w:rStyle w:val="pagebreaktextspan"/>
          <w:rFonts w:asciiTheme="minorHAnsi" w:hAnsiTheme="minorHAnsi" w:cstheme="minorHAnsi"/>
          <w:color w:val="000000" w:themeColor="text1"/>
          <w:sz w:val="22"/>
          <w:szCs w:val="22"/>
          <w:shd w:val="clear" w:color="auto" w:fill="FFFFFF"/>
        </w:rPr>
        <w:t xml:space="preserve"> and prioritize </w:t>
      </w:r>
      <w:r w:rsidR="002809C5">
        <w:rPr>
          <w:rStyle w:val="pagebreaktextspan"/>
          <w:rFonts w:asciiTheme="minorHAnsi" w:hAnsiTheme="minorHAnsi" w:cstheme="minorHAnsi"/>
          <w:color w:val="000000" w:themeColor="text1"/>
          <w:sz w:val="22"/>
          <w:szCs w:val="22"/>
          <w:shd w:val="clear" w:color="auto" w:fill="FFFFFF"/>
        </w:rPr>
        <w:t>personalized outreach</w:t>
      </w:r>
      <w:r w:rsidR="007A647D">
        <w:rPr>
          <w:rStyle w:val="pagebreaktextspan"/>
          <w:rFonts w:asciiTheme="minorHAnsi" w:hAnsiTheme="minorHAnsi" w:cstheme="minorHAnsi"/>
          <w:color w:val="000000" w:themeColor="text1"/>
          <w:sz w:val="22"/>
          <w:szCs w:val="22"/>
          <w:shd w:val="clear" w:color="auto" w:fill="FFFFFF"/>
        </w:rPr>
        <w:t xml:space="preserve"> to support our students</w:t>
      </w:r>
      <w:r w:rsidR="00984D45" w:rsidRPr="00F86291">
        <w:rPr>
          <w:rStyle w:val="pagebreaktextspan"/>
          <w:rFonts w:asciiTheme="minorHAnsi" w:hAnsiTheme="minorHAnsi" w:cstheme="minorHAnsi"/>
          <w:color w:val="000000" w:themeColor="text1"/>
          <w:sz w:val="22"/>
          <w:szCs w:val="22"/>
          <w:shd w:val="clear" w:color="auto" w:fill="FFFFFF"/>
        </w:rPr>
        <w:t xml:space="preserve">. </w:t>
      </w:r>
      <w:r w:rsidR="007B33D0" w:rsidRPr="00F86291">
        <w:rPr>
          <w:rStyle w:val="normaltextrun"/>
          <w:rFonts w:asciiTheme="minorHAnsi" w:hAnsiTheme="minorHAnsi" w:cstheme="minorHAnsi"/>
          <w:color w:val="212121"/>
          <w:sz w:val="22"/>
          <w:szCs w:val="22"/>
        </w:rPr>
        <w:t>To support Faculty success, the University has recently combined several instructional resource centers into the </w:t>
      </w:r>
      <w:hyperlink r:id="rId9" w:tgtFrame="_blank" w:history="1">
        <w:r w:rsidR="008D7A13">
          <w:rPr>
            <w:rStyle w:val="normaltextrun"/>
            <w:rFonts w:asciiTheme="minorHAnsi" w:hAnsiTheme="minorHAnsi" w:cstheme="minorHAnsi"/>
            <w:color w:val="0078D7"/>
            <w:sz w:val="22"/>
            <w:szCs w:val="22"/>
            <w:u w:val="single"/>
          </w:rPr>
          <w:t>Center for Teaching and Innovation</w:t>
        </w:r>
      </w:hyperlink>
      <w:r w:rsidR="007B33D0" w:rsidRPr="00F86291">
        <w:rPr>
          <w:rStyle w:val="normaltextrun"/>
          <w:rFonts w:asciiTheme="minorHAnsi" w:hAnsiTheme="minorHAnsi" w:cstheme="minorHAnsi"/>
          <w:color w:val="0078D7"/>
          <w:sz w:val="22"/>
          <w:szCs w:val="22"/>
          <w:u w:val="single"/>
        </w:rPr>
        <w:t xml:space="preserve"> </w:t>
      </w:r>
      <w:r w:rsidR="007B33D0" w:rsidRPr="00F86291">
        <w:rPr>
          <w:rStyle w:val="normaltextrun"/>
          <w:rFonts w:asciiTheme="minorHAnsi" w:hAnsiTheme="minorHAnsi" w:cstheme="minorHAnsi"/>
          <w:color w:val="212121"/>
          <w:sz w:val="22"/>
          <w:szCs w:val="22"/>
        </w:rPr>
        <w:t xml:space="preserve">(CTI) which is staffed with </w:t>
      </w:r>
      <w:r w:rsidR="007B33D0" w:rsidRPr="00321DE5">
        <w:rPr>
          <w:rStyle w:val="normaltextrun"/>
          <w:rFonts w:asciiTheme="minorHAnsi" w:hAnsiTheme="minorHAnsi" w:cstheme="minorHAnsi"/>
          <w:color w:val="212121"/>
          <w:sz w:val="22"/>
          <w:szCs w:val="22"/>
        </w:rPr>
        <w:t>full-time</w:t>
      </w:r>
      <w:r w:rsidR="007B33D0" w:rsidRPr="00F86291">
        <w:rPr>
          <w:rStyle w:val="normaltextrun"/>
          <w:rFonts w:asciiTheme="minorHAnsi" w:hAnsiTheme="minorHAnsi" w:cstheme="minorHAnsi"/>
          <w:color w:val="212121"/>
          <w:sz w:val="22"/>
          <w:szCs w:val="22"/>
        </w:rPr>
        <w:t xml:space="preserve"> professionals dedicated to providing professional development and instructional support. </w:t>
      </w:r>
      <w:r w:rsidR="00606160" w:rsidRPr="00F86291">
        <w:rPr>
          <w:rStyle w:val="normaltextrun"/>
          <w:rFonts w:asciiTheme="minorHAnsi" w:hAnsiTheme="minorHAnsi" w:cstheme="minorHAnsi"/>
          <w:sz w:val="22"/>
          <w:szCs w:val="22"/>
        </w:rPr>
        <w:t>In addition</w:t>
      </w:r>
      <w:r w:rsidR="00671D8B" w:rsidRPr="00F86291">
        <w:rPr>
          <w:rStyle w:val="normaltextrun"/>
          <w:rFonts w:asciiTheme="minorHAnsi" w:hAnsiTheme="minorHAnsi" w:cstheme="minorHAnsi"/>
          <w:sz w:val="22"/>
          <w:szCs w:val="22"/>
        </w:rPr>
        <w:t>,</w:t>
      </w:r>
      <w:r w:rsidR="00CF45B0" w:rsidRPr="00F86291">
        <w:rPr>
          <w:rStyle w:val="normaltextrun"/>
          <w:rFonts w:asciiTheme="minorHAnsi" w:hAnsiTheme="minorHAnsi" w:cstheme="minorHAnsi"/>
          <w:color w:val="0A0A0A"/>
          <w:sz w:val="22"/>
          <w:szCs w:val="22"/>
        </w:rPr>
        <w:t xml:space="preserve"> TLC, and </w:t>
      </w:r>
      <w:r w:rsidR="00D33777" w:rsidRPr="00F86291">
        <w:rPr>
          <w:rStyle w:val="normaltextrun"/>
          <w:rFonts w:asciiTheme="minorHAnsi" w:hAnsiTheme="minorHAnsi" w:cstheme="minorHAnsi"/>
          <w:color w:val="0A0A0A"/>
          <w:sz w:val="22"/>
          <w:szCs w:val="22"/>
        </w:rPr>
        <w:t>advising centers</w:t>
      </w:r>
      <w:r w:rsidR="00CF45B0" w:rsidRPr="00F86291">
        <w:rPr>
          <w:rStyle w:val="normaltextrun"/>
          <w:rFonts w:asciiTheme="minorHAnsi" w:hAnsiTheme="minorHAnsi" w:cstheme="minorHAnsi"/>
          <w:color w:val="0A0A0A"/>
          <w:sz w:val="22"/>
          <w:szCs w:val="22"/>
        </w:rPr>
        <w:t xml:space="preserve"> support and supplement </w:t>
      </w:r>
      <w:r w:rsidR="00D33777" w:rsidRPr="00F86291">
        <w:rPr>
          <w:rStyle w:val="normaltextrun"/>
          <w:rFonts w:asciiTheme="minorHAnsi" w:hAnsiTheme="minorHAnsi" w:cstheme="minorHAnsi"/>
          <w:color w:val="0A0A0A"/>
          <w:sz w:val="22"/>
          <w:szCs w:val="22"/>
        </w:rPr>
        <w:t>F</w:t>
      </w:r>
      <w:r w:rsidR="00CF45B0" w:rsidRPr="00F86291">
        <w:rPr>
          <w:rStyle w:val="normaltextrun"/>
          <w:rFonts w:asciiTheme="minorHAnsi" w:hAnsiTheme="minorHAnsi" w:cstheme="minorHAnsi"/>
          <w:color w:val="0A0A0A"/>
          <w:sz w:val="22"/>
          <w:szCs w:val="22"/>
        </w:rPr>
        <w:t xml:space="preserve">aculty efforts to educate Central’s student body. </w:t>
      </w:r>
      <w:r w:rsidR="006E69E2" w:rsidRPr="00F86291">
        <w:rPr>
          <w:rStyle w:val="normaltextrun"/>
          <w:rFonts w:asciiTheme="minorHAnsi" w:hAnsiTheme="minorHAnsi" w:cstheme="minorHAnsi"/>
          <w:sz w:val="22"/>
          <w:szCs w:val="22"/>
        </w:rPr>
        <w:t xml:space="preserve">To </w:t>
      </w:r>
      <w:r w:rsidR="00B70759" w:rsidRPr="00F86291">
        <w:rPr>
          <w:rStyle w:val="normaltextrun"/>
          <w:rFonts w:asciiTheme="minorHAnsi" w:hAnsiTheme="minorHAnsi" w:cstheme="minorHAnsi"/>
          <w:sz w:val="22"/>
          <w:szCs w:val="22"/>
        </w:rPr>
        <w:t xml:space="preserve">further </w:t>
      </w:r>
      <w:r w:rsidR="006E69E2" w:rsidRPr="00F86291">
        <w:rPr>
          <w:rStyle w:val="normaltextrun"/>
          <w:rFonts w:asciiTheme="minorHAnsi" w:hAnsiTheme="minorHAnsi" w:cstheme="minorHAnsi"/>
          <w:sz w:val="22"/>
          <w:szCs w:val="22"/>
        </w:rPr>
        <w:t>support students,</w:t>
      </w:r>
      <w:r w:rsidR="00E43B8A" w:rsidRPr="00F86291">
        <w:rPr>
          <w:rStyle w:val="normaltextrun"/>
          <w:rFonts w:asciiTheme="minorHAnsi" w:hAnsiTheme="minorHAnsi" w:cstheme="minorHAnsi"/>
          <w:sz w:val="22"/>
          <w:szCs w:val="22"/>
        </w:rPr>
        <w:t xml:space="preserve"> </w:t>
      </w:r>
      <w:r w:rsidR="00D33777" w:rsidRPr="00F86291">
        <w:rPr>
          <w:rStyle w:val="normaltextrun"/>
          <w:rFonts w:asciiTheme="minorHAnsi" w:hAnsiTheme="minorHAnsi" w:cstheme="minorHAnsi"/>
          <w:sz w:val="22"/>
          <w:szCs w:val="22"/>
        </w:rPr>
        <w:t>F</w:t>
      </w:r>
      <w:r w:rsidR="006E69E2" w:rsidRPr="00F86291">
        <w:rPr>
          <w:rStyle w:val="normaltextrun"/>
          <w:rFonts w:asciiTheme="minorHAnsi" w:hAnsiTheme="minorHAnsi" w:cstheme="minorHAnsi"/>
          <w:color w:val="0A0A0A"/>
          <w:sz w:val="22"/>
          <w:szCs w:val="22"/>
        </w:rPr>
        <w:t xml:space="preserve">aculty are required to have </w:t>
      </w:r>
      <w:r w:rsidR="00E94B72" w:rsidRPr="00F86291">
        <w:rPr>
          <w:rStyle w:val="normaltextrun"/>
          <w:rFonts w:asciiTheme="minorHAnsi" w:hAnsiTheme="minorHAnsi" w:cstheme="minorHAnsi"/>
          <w:color w:val="0A0A0A"/>
          <w:sz w:val="22"/>
          <w:szCs w:val="22"/>
        </w:rPr>
        <w:t xml:space="preserve">regularly scheduled </w:t>
      </w:r>
      <w:r w:rsidR="006E69E2" w:rsidRPr="00F86291">
        <w:rPr>
          <w:rStyle w:val="normaltextrun"/>
          <w:rFonts w:asciiTheme="minorHAnsi" w:hAnsiTheme="minorHAnsi" w:cstheme="minorHAnsi"/>
          <w:color w:val="0A0A0A"/>
          <w:sz w:val="22"/>
          <w:szCs w:val="22"/>
        </w:rPr>
        <w:t>office hours</w:t>
      </w:r>
      <w:r w:rsidR="00E94B72" w:rsidRPr="00F86291">
        <w:rPr>
          <w:rStyle w:val="normaltextrun"/>
          <w:rFonts w:asciiTheme="minorHAnsi" w:hAnsiTheme="minorHAnsi" w:cstheme="minorHAnsi"/>
          <w:color w:val="0A0A0A"/>
          <w:sz w:val="22"/>
          <w:szCs w:val="22"/>
        </w:rPr>
        <w:t>.</w:t>
      </w:r>
      <w:r w:rsidR="006E69E2" w:rsidRPr="00F86291">
        <w:rPr>
          <w:rStyle w:val="normaltextrun"/>
          <w:rFonts w:asciiTheme="minorHAnsi" w:hAnsiTheme="minorHAnsi" w:cstheme="minorHAnsi"/>
          <w:color w:val="0A0A0A"/>
          <w:sz w:val="22"/>
          <w:szCs w:val="22"/>
        </w:rPr>
        <w:t> </w:t>
      </w:r>
      <w:r w:rsidR="00D76BF9" w:rsidRPr="00F86291">
        <w:rPr>
          <w:rStyle w:val="normaltextrun"/>
          <w:rFonts w:asciiTheme="minorHAnsi" w:hAnsiTheme="minorHAnsi" w:cstheme="minorHAnsi"/>
          <w:color w:val="0A0A0A"/>
          <w:sz w:val="22"/>
          <w:szCs w:val="22"/>
        </w:rPr>
        <w:t xml:space="preserve">In addition, </w:t>
      </w:r>
      <w:r w:rsidR="00EB458B" w:rsidRPr="00F86291">
        <w:rPr>
          <w:rStyle w:val="normaltextrun"/>
          <w:rFonts w:asciiTheme="minorHAnsi" w:hAnsiTheme="minorHAnsi" w:cstheme="minorHAnsi"/>
          <w:color w:val="0A0A0A"/>
          <w:sz w:val="22"/>
          <w:szCs w:val="22"/>
        </w:rPr>
        <w:t>faculty receive constructive feedback</w:t>
      </w:r>
      <w:r w:rsidR="00A613DB" w:rsidRPr="00F86291">
        <w:rPr>
          <w:rStyle w:val="normaltextrun"/>
          <w:rFonts w:asciiTheme="minorHAnsi" w:hAnsiTheme="minorHAnsi" w:cstheme="minorHAnsi"/>
          <w:color w:val="0A0A0A"/>
          <w:sz w:val="22"/>
          <w:szCs w:val="22"/>
        </w:rPr>
        <w:t xml:space="preserve"> on their teaching, creative activity, and service</w:t>
      </w:r>
      <w:r w:rsidR="00EB458B" w:rsidRPr="00F86291">
        <w:rPr>
          <w:rStyle w:val="normaltextrun"/>
          <w:rFonts w:asciiTheme="minorHAnsi" w:hAnsiTheme="minorHAnsi" w:cstheme="minorHAnsi"/>
          <w:color w:val="0A0A0A"/>
          <w:sz w:val="22"/>
          <w:szCs w:val="22"/>
        </w:rPr>
        <w:t xml:space="preserve"> </w:t>
      </w:r>
      <w:r w:rsidR="000F4403" w:rsidRPr="00F86291">
        <w:rPr>
          <w:rStyle w:val="normaltextrun"/>
          <w:rFonts w:asciiTheme="minorHAnsi" w:hAnsiTheme="minorHAnsi" w:cstheme="minorHAnsi"/>
          <w:color w:val="0A0A0A"/>
          <w:sz w:val="22"/>
          <w:szCs w:val="22"/>
        </w:rPr>
        <w:t xml:space="preserve">through a formal review process </w:t>
      </w:r>
      <w:r w:rsidR="00D65F7D" w:rsidRPr="00F86291">
        <w:rPr>
          <w:rStyle w:val="normaltextrun"/>
          <w:rFonts w:asciiTheme="minorHAnsi" w:hAnsiTheme="minorHAnsi" w:cstheme="minorHAnsi"/>
          <w:color w:val="0A0A0A"/>
          <w:sz w:val="22"/>
          <w:szCs w:val="22"/>
        </w:rPr>
        <w:t>every year prior to tenure and every 6</w:t>
      </w:r>
      <w:r w:rsidR="00D65F7D" w:rsidRPr="00F86291">
        <w:rPr>
          <w:rStyle w:val="normaltextrun"/>
          <w:rFonts w:asciiTheme="minorHAnsi" w:hAnsiTheme="minorHAnsi" w:cstheme="minorHAnsi"/>
          <w:color w:val="0A0A0A"/>
          <w:sz w:val="22"/>
          <w:szCs w:val="22"/>
          <w:vertAlign w:val="superscript"/>
        </w:rPr>
        <w:t>th</w:t>
      </w:r>
      <w:r w:rsidR="00D65F7D" w:rsidRPr="00F86291">
        <w:rPr>
          <w:rStyle w:val="normaltextrun"/>
          <w:rFonts w:asciiTheme="minorHAnsi" w:hAnsiTheme="minorHAnsi" w:cstheme="minorHAnsi"/>
          <w:color w:val="0A0A0A"/>
          <w:sz w:val="22"/>
          <w:szCs w:val="22"/>
        </w:rPr>
        <w:t xml:space="preserve"> year afterward.</w:t>
      </w:r>
      <w:r w:rsidR="00B948EF" w:rsidRPr="00F86291">
        <w:rPr>
          <w:rStyle w:val="normaltextrun"/>
          <w:rFonts w:asciiTheme="minorHAnsi" w:hAnsiTheme="minorHAnsi" w:cstheme="minorHAnsi"/>
          <w:color w:val="0A0A0A"/>
          <w:sz w:val="22"/>
          <w:szCs w:val="22"/>
        </w:rPr>
        <w:t xml:space="preserve"> </w:t>
      </w:r>
      <w:r w:rsidR="00B948EF" w:rsidRPr="00691ACA">
        <w:rPr>
          <w:rStyle w:val="normaltextrun"/>
          <w:rFonts w:asciiTheme="minorHAnsi" w:hAnsiTheme="minorHAnsi" w:cstheme="minorHAnsi"/>
          <w:color w:val="0A0A0A"/>
          <w:sz w:val="22"/>
          <w:szCs w:val="22"/>
        </w:rPr>
        <w:t>(</w:t>
      </w:r>
      <w:r w:rsidR="008E0D50" w:rsidRPr="00691ACA">
        <w:rPr>
          <w:rStyle w:val="normaltextrun"/>
          <w:rFonts w:asciiTheme="minorHAnsi" w:hAnsiTheme="minorHAnsi" w:cstheme="minorHAnsi"/>
          <w:color w:val="0A0A0A"/>
          <w:sz w:val="22"/>
          <w:szCs w:val="22"/>
        </w:rPr>
        <w:t xml:space="preserve">Articles </w:t>
      </w:r>
      <w:r w:rsidR="009224AC" w:rsidRPr="00691ACA">
        <w:rPr>
          <w:rStyle w:val="normaltextrun"/>
          <w:rFonts w:asciiTheme="minorHAnsi" w:hAnsiTheme="minorHAnsi" w:cstheme="minorHAnsi"/>
          <w:color w:val="0A0A0A"/>
          <w:sz w:val="22"/>
          <w:szCs w:val="22"/>
        </w:rPr>
        <w:t>4.11 and 4.12</w:t>
      </w:r>
      <w:r w:rsidR="00B948EF" w:rsidRPr="00691ACA">
        <w:rPr>
          <w:rStyle w:val="normaltextrun"/>
          <w:rFonts w:asciiTheme="minorHAnsi" w:hAnsiTheme="minorHAnsi" w:cstheme="minorHAnsi"/>
          <w:color w:val="0A0A0A"/>
          <w:sz w:val="22"/>
          <w:szCs w:val="22"/>
        </w:rPr>
        <w:t>.)</w:t>
      </w:r>
    </w:p>
    <w:p w14:paraId="5E5110A2" w14:textId="71BED014" w:rsidR="00101767" w:rsidRPr="00F86291" w:rsidRDefault="00F74582" w:rsidP="002451B8">
      <w:pPr>
        <w:pStyle w:val="paragraph"/>
        <w:spacing w:after="0"/>
        <w:textAlignment w:val="baseline"/>
        <w:rPr>
          <w:rStyle w:val="normaltextrun"/>
          <w:rFonts w:asciiTheme="minorHAnsi" w:hAnsiTheme="minorHAnsi" w:cstheme="minorHAnsi"/>
          <w:color w:val="0A0A0A"/>
          <w:sz w:val="22"/>
          <w:szCs w:val="22"/>
        </w:rPr>
      </w:pPr>
      <w:r w:rsidRPr="00F86291">
        <w:rPr>
          <w:rStyle w:val="normaltextrun"/>
          <w:rFonts w:asciiTheme="minorHAnsi" w:hAnsiTheme="minorHAnsi" w:cstheme="minorHAnsi"/>
          <w:color w:val="FF0000"/>
          <w:sz w:val="22"/>
          <w:szCs w:val="22"/>
        </w:rPr>
        <w:t>(6.3)</w:t>
      </w:r>
      <w:r w:rsidRPr="00F86291">
        <w:rPr>
          <w:rStyle w:val="normaltextrun"/>
          <w:rFonts w:asciiTheme="minorHAnsi" w:hAnsiTheme="minorHAnsi" w:cstheme="minorHAnsi"/>
          <w:color w:val="0A0A0A"/>
          <w:sz w:val="22"/>
          <w:szCs w:val="22"/>
        </w:rPr>
        <w:t xml:space="preserve"> </w:t>
      </w:r>
      <w:r w:rsidR="00AC28E1" w:rsidRPr="00F86291">
        <w:rPr>
          <w:rStyle w:val="normaltextrun"/>
          <w:rFonts w:asciiTheme="minorHAnsi" w:hAnsiTheme="minorHAnsi" w:cstheme="minorHAnsi"/>
          <w:color w:val="0A0A0A"/>
          <w:sz w:val="22"/>
          <w:szCs w:val="22"/>
        </w:rPr>
        <w:t>Faculty and</w:t>
      </w:r>
      <w:r w:rsidR="00EC374B" w:rsidRPr="00F86291">
        <w:rPr>
          <w:rStyle w:val="normaltextrun"/>
          <w:rFonts w:asciiTheme="minorHAnsi" w:hAnsiTheme="minorHAnsi" w:cstheme="minorHAnsi"/>
          <w:color w:val="0A0A0A"/>
          <w:sz w:val="22"/>
          <w:szCs w:val="22"/>
        </w:rPr>
        <w:t xml:space="preserve"> </w:t>
      </w:r>
      <w:r w:rsidR="00C74078">
        <w:rPr>
          <w:rStyle w:val="normaltextrun"/>
          <w:rFonts w:asciiTheme="minorHAnsi" w:hAnsiTheme="minorHAnsi" w:cstheme="minorHAnsi"/>
          <w:color w:val="0A0A0A"/>
          <w:sz w:val="22"/>
          <w:szCs w:val="22"/>
        </w:rPr>
        <w:t>administrative faculty</w:t>
      </w:r>
      <w:r w:rsidR="009E59E7" w:rsidRPr="00F86291">
        <w:rPr>
          <w:rStyle w:val="normaltextrun"/>
          <w:rFonts w:asciiTheme="minorHAnsi" w:hAnsiTheme="minorHAnsi" w:cstheme="minorHAnsi"/>
          <w:color w:val="0A0A0A"/>
          <w:sz w:val="22"/>
          <w:szCs w:val="22"/>
        </w:rPr>
        <w:t xml:space="preserve"> assignments are commensurate with educational level, experience and degree of scholarly activity. </w:t>
      </w:r>
      <w:r w:rsidR="001F4165" w:rsidRPr="00F86291">
        <w:rPr>
          <w:rStyle w:val="normaltextrun"/>
          <w:rFonts w:asciiTheme="minorHAnsi" w:hAnsiTheme="minorHAnsi" w:cstheme="minorHAnsi"/>
          <w:color w:val="0A0A0A"/>
          <w:sz w:val="22"/>
          <w:szCs w:val="22"/>
        </w:rPr>
        <w:t>For appointment to a t</w:t>
      </w:r>
      <w:r w:rsidR="002F2E06" w:rsidRPr="00F86291">
        <w:rPr>
          <w:rStyle w:val="normaltextrun"/>
          <w:rFonts w:asciiTheme="minorHAnsi" w:hAnsiTheme="minorHAnsi" w:cstheme="minorHAnsi"/>
          <w:color w:val="0A0A0A"/>
          <w:sz w:val="22"/>
          <w:szCs w:val="22"/>
        </w:rPr>
        <w:t>enure</w:t>
      </w:r>
      <w:r w:rsidR="000A4DC7" w:rsidRPr="00F86291">
        <w:rPr>
          <w:rStyle w:val="normaltextrun"/>
          <w:rFonts w:asciiTheme="minorHAnsi" w:hAnsiTheme="minorHAnsi" w:cstheme="minorHAnsi"/>
          <w:color w:val="0A0A0A"/>
          <w:sz w:val="22"/>
          <w:szCs w:val="22"/>
        </w:rPr>
        <w:t>d/tenure</w:t>
      </w:r>
      <w:r w:rsidR="002F2E06" w:rsidRPr="00F86291">
        <w:rPr>
          <w:rStyle w:val="normaltextrun"/>
          <w:rFonts w:asciiTheme="minorHAnsi" w:hAnsiTheme="minorHAnsi" w:cstheme="minorHAnsi"/>
          <w:color w:val="0A0A0A"/>
          <w:sz w:val="22"/>
          <w:szCs w:val="22"/>
        </w:rPr>
        <w:t>-track</w:t>
      </w:r>
      <w:r w:rsidR="001F4165" w:rsidRPr="00F86291">
        <w:rPr>
          <w:rStyle w:val="normaltextrun"/>
          <w:rFonts w:asciiTheme="minorHAnsi" w:hAnsiTheme="minorHAnsi" w:cstheme="minorHAnsi"/>
          <w:color w:val="0A0A0A"/>
          <w:sz w:val="22"/>
          <w:szCs w:val="22"/>
        </w:rPr>
        <w:t xml:space="preserve"> position,</w:t>
      </w:r>
      <w:r w:rsidR="002F2E06" w:rsidRPr="00F86291">
        <w:rPr>
          <w:rStyle w:val="normaltextrun"/>
          <w:rFonts w:asciiTheme="minorHAnsi" w:hAnsiTheme="minorHAnsi" w:cstheme="minorHAnsi"/>
          <w:color w:val="0A0A0A"/>
          <w:sz w:val="22"/>
          <w:szCs w:val="22"/>
        </w:rPr>
        <w:t xml:space="preserve"> </w:t>
      </w:r>
      <w:r w:rsidR="00D33777" w:rsidRPr="00F86291">
        <w:rPr>
          <w:rStyle w:val="normaltextrun"/>
          <w:rFonts w:asciiTheme="minorHAnsi" w:hAnsiTheme="minorHAnsi" w:cstheme="minorHAnsi"/>
          <w:color w:val="0A0A0A"/>
          <w:sz w:val="22"/>
          <w:szCs w:val="22"/>
        </w:rPr>
        <w:t>F</w:t>
      </w:r>
      <w:r w:rsidR="002F2E06" w:rsidRPr="00F86291">
        <w:rPr>
          <w:rStyle w:val="normaltextrun"/>
          <w:rFonts w:asciiTheme="minorHAnsi" w:hAnsiTheme="minorHAnsi" w:cstheme="minorHAnsi"/>
          <w:color w:val="0A0A0A"/>
          <w:sz w:val="22"/>
          <w:szCs w:val="22"/>
        </w:rPr>
        <w:t>aculty members must hold terminal degrees</w:t>
      </w:r>
      <w:r w:rsidR="004D506E" w:rsidRPr="00F86291">
        <w:rPr>
          <w:rStyle w:val="normaltextrun"/>
          <w:rFonts w:asciiTheme="minorHAnsi" w:hAnsiTheme="minorHAnsi" w:cstheme="minorHAnsi"/>
          <w:color w:val="0A0A0A"/>
          <w:sz w:val="22"/>
          <w:szCs w:val="22"/>
        </w:rPr>
        <w:t>, evidence of scholarship, teaching experience, and creative activity as outlined in the CBA.</w:t>
      </w:r>
      <w:r w:rsidR="00DC54D5" w:rsidRPr="00F86291">
        <w:rPr>
          <w:rStyle w:val="normaltextrun"/>
          <w:rFonts w:asciiTheme="minorHAnsi" w:hAnsiTheme="minorHAnsi" w:cstheme="minorHAnsi"/>
          <w:color w:val="0A0A0A"/>
          <w:sz w:val="22"/>
          <w:szCs w:val="22"/>
        </w:rPr>
        <w:t xml:space="preserve"> </w:t>
      </w:r>
      <w:r w:rsidR="00D40294" w:rsidRPr="00F86291">
        <w:rPr>
          <w:rStyle w:val="normaltextrun"/>
          <w:rFonts w:asciiTheme="minorHAnsi" w:hAnsiTheme="minorHAnsi" w:cstheme="minorHAnsi"/>
          <w:color w:val="0A0A0A"/>
          <w:sz w:val="22"/>
          <w:szCs w:val="22"/>
        </w:rPr>
        <w:t xml:space="preserve">As of </w:t>
      </w:r>
      <w:r w:rsidR="004B0A0E" w:rsidRPr="00F86291">
        <w:rPr>
          <w:rStyle w:val="normaltextrun"/>
          <w:rFonts w:asciiTheme="minorHAnsi" w:hAnsiTheme="minorHAnsi" w:cstheme="minorHAnsi"/>
          <w:color w:val="0A0A0A"/>
          <w:sz w:val="22"/>
          <w:szCs w:val="22"/>
        </w:rPr>
        <w:t xml:space="preserve">Fall </w:t>
      </w:r>
      <w:r w:rsidR="004A51EC" w:rsidRPr="00F86291">
        <w:rPr>
          <w:rStyle w:val="normaltextrun"/>
          <w:rFonts w:asciiTheme="minorHAnsi" w:hAnsiTheme="minorHAnsi" w:cstheme="minorHAnsi"/>
          <w:color w:val="0A0A0A"/>
          <w:sz w:val="22"/>
          <w:szCs w:val="22"/>
        </w:rPr>
        <w:t>202</w:t>
      </w:r>
      <w:r w:rsidR="00334E30" w:rsidRPr="00F86291">
        <w:rPr>
          <w:rStyle w:val="normaltextrun"/>
          <w:rFonts w:asciiTheme="minorHAnsi" w:hAnsiTheme="minorHAnsi" w:cstheme="minorHAnsi"/>
          <w:color w:val="0A0A0A"/>
          <w:sz w:val="22"/>
          <w:szCs w:val="22"/>
        </w:rPr>
        <w:t xml:space="preserve">2, </w:t>
      </w:r>
      <w:r w:rsidR="00517C9E" w:rsidRPr="00F86291">
        <w:rPr>
          <w:rStyle w:val="normaltextrun"/>
          <w:rFonts w:asciiTheme="minorHAnsi" w:hAnsiTheme="minorHAnsi" w:cstheme="minorHAnsi"/>
          <w:color w:val="0A0A0A"/>
          <w:sz w:val="22"/>
          <w:szCs w:val="22"/>
        </w:rPr>
        <w:t>86</w:t>
      </w:r>
      <w:r w:rsidR="00D40294" w:rsidRPr="00F86291">
        <w:rPr>
          <w:rStyle w:val="normaltextrun"/>
          <w:rFonts w:asciiTheme="minorHAnsi" w:hAnsiTheme="minorHAnsi" w:cstheme="minorHAnsi"/>
          <w:color w:val="0A0A0A"/>
          <w:sz w:val="22"/>
          <w:szCs w:val="22"/>
        </w:rPr>
        <w:t xml:space="preserve"> </w:t>
      </w:r>
      <w:r w:rsidR="000A4DC7" w:rsidRPr="00F86291">
        <w:rPr>
          <w:rStyle w:val="normaltextrun"/>
          <w:rFonts w:asciiTheme="minorHAnsi" w:hAnsiTheme="minorHAnsi" w:cstheme="minorHAnsi"/>
          <w:color w:val="0A0A0A"/>
          <w:sz w:val="22"/>
          <w:szCs w:val="22"/>
        </w:rPr>
        <w:t xml:space="preserve">percent </w:t>
      </w:r>
      <w:r w:rsidR="00334E30" w:rsidRPr="00F86291">
        <w:rPr>
          <w:rStyle w:val="normaltextrun"/>
          <w:rFonts w:asciiTheme="minorHAnsi" w:hAnsiTheme="minorHAnsi" w:cstheme="minorHAnsi"/>
          <w:color w:val="0A0A0A"/>
          <w:sz w:val="22"/>
          <w:szCs w:val="22"/>
        </w:rPr>
        <w:t xml:space="preserve">of </w:t>
      </w:r>
      <w:r w:rsidR="00517C9E" w:rsidRPr="00F86291">
        <w:rPr>
          <w:rStyle w:val="normaltextrun"/>
          <w:rFonts w:asciiTheme="minorHAnsi" w:hAnsiTheme="minorHAnsi" w:cstheme="minorHAnsi"/>
          <w:color w:val="0A0A0A"/>
          <w:sz w:val="22"/>
          <w:szCs w:val="22"/>
        </w:rPr>
        <w:t xml:space="preserve">full-time </w:t>
      </w:r>
      <w:r w:rsidR="00D33777" w:rsidRPr="00F86291">
        <w:rPr>
          <w:rStyle w:val="normaltextrun"/>
          <w:rFonts w:asciiTheme="minorHAnsi" w:hAnsiTheme="minorHAnsi" w:cstheme="minorHAnsi"/>
          <w:color w:val="0A0A0A"/>
          <w:sz w:val="22"/>
          <w:szCs w:val="22"/>
        </w:rPr>
        <w:t>F</w:t>
      </w:r>
      <w:r w:rsidR="00334E30" w:rsidRPr="00F86291">
        <w:rPr>
          <w:rStyle w:val="normaltextrun"/>
          <w:rFonts w:asciiTheme="minorHAnsi" w:hAnsiTheme="minorHAnsi" w:cstheme="minorHAnsi"/>
          <w:color w:val="0A0A0A"/>
          <w:sz w:val="22"/>
          <w:szCs w:val="22"/>
        </w:rPr>
        <w:t>aculty</w:t>
      </w:r>
      <w:r w:rsidR="00DA14BE" w:rsidRPr="00F86291">
        <w:rPr>
          <w:rStyle w:val="normaltextrun"/>
          <w:rFonts w:asciiTheme="minorHAnsi" w:hAnsiTheme="minorHAnsi" w:cstheme="minorHAnsi"/>
          <w:color w:val="0A0A0A"/>
          <w:sz w:val="22"/>
          <w:szCs w:val="22"/>
        </w:rPr>
        <w:t xml:space="preserve">, including </w:t>
      </w:r>
      <w:r w:rsidR="00C816B7" w:rsidRPr="00F86291">
        <w:rPr>
          <w:rStyle w:val="normaltextrun"/>
          <w:rFonts w:asciiTheme="minorHAnsi" w:hAnsiTheme="minorHAnsi" w:cstheme="minorHAnsi"/>
          <w:color w:val="0A0A0A"/>
          <w:sz w:val="22"/>
          <w:szCs w:val="22"/>
        </w:rPr>
        <w:t>temporary</w:t>
      </w:r>
      <w:r w:rsidR="00DA14BE" w:rsidRPr="00F86291">
        <w:rPr>
          <w:rStyle w:val="normaltextrun"/>
          <w:rFonts w:asciiTheme="minorHAnsi" w:hAnsiTheme="minorHAnsi" w:cstheme="minorHAnsi"/>
          <w:color w:val="0A0A0A"/>
          <w:sz w:val="22"/>
          <w:szCs w:val="22"/>
        </w:rPr>
        <w:t xml:space="preserve"> hires,</w:t>
      </w:r>
      <w:r w:rsidR="00334E30" w:rsidRPr="00F86291">
        <w:rPr>
          <w:rStyle w:val="normaltextrun"/>
          <w:rFonts w:asciiTheme="minorHAnsi" w:hAnsiTheme="minorHAnsi" w:cstheme="minorHAnsi"/>
          <w:color w:val="0A0A0A"/>
          <w:sz w:val="22"/>
          <w:szCs w:val="22"/>
        </w:rPr>
        <w:t xml:space="preserve"> h</w:t>
      </w:r>
      <w:r w:rsidR="00401479" w:rsidRPr="00F86291">
        <w:rPr>
          <w:rStyle w:val="normaltextrun"/>
          <w:rFonts w:asciiTheme="minorHAnsi" w:hAnsiTheme="minorHAnsi" w:cstheme="minorHAnsi"/>
          <w:color w:val="0A0A0A"/>
          <w:sz w:val="22"/>
          <w:szCs w:val="22"/>
        </w:rPr>
        <w:t>o</w:t>
      </w:r>
      <w:r w:rsidR="00334E30" w:rsidRPr="00F86291">
        <w:rPr>
          <w:rStyle w:val="normaltextrun"/>
          <w:rFonts w:asciiTheme="minorHAnsi" w:hAnsiTheme="minorHAnsi" w:cstheme="minorHAnsi"/>
          <w:color w:val="0A0A0A"/>
          <w:sz w:val="22"/>
          <w:szCs w:val="22"/>
        </w:rPr>
        <w:t>ld a terminal degree</w:t>
      </w:r>
      <w:r w:rsidR="005956F5" w:rsidRPr="00F86291">
        <w:rPr>
          <w:rStyle w:val="normaltextrun"/>
          <w:rFonts w:asciiTheme="minorHAnsi" w:hAnsiTheme="minorHAnsi" w:cstheme="minorHAnsi"/>
          <w:color w:val="0A0A0A"/>
          <w:sz w:val="22"/>
          <w:szCs w:val="22"/>
        </w:rPr>
        <w:t>.</w:t>
      </w:r>
      <w:r w:rsidR="002F2E06" w:rsidRPr="00F86291">
        <w:rPr>
          <w:rStyle w:val="normaltextrun"/>
          <w:rFonts w:asciiTheme="minorHAnsi" w:hAnsiTheme="minorHAnsi" w:cstheme="minorHAnsi"/>
          <w:color w:val="0A0A0A"/>
          <w:sz w:val="22"/>
          <w:szCs w:val="22"/>
        </w:rPr>
        <w:t xml:space="preserve"> </w:t>
      </w:r>
      <w:r w:rsidR="00DD001E" w:rsidRPr="00F86291">
        <w:rPr>
          <w:rStyle w:val="normaltextrun"/>
          <w:rFonts w:asciiTheme="minorHAnsi" w:hAnsiTheme="minorHAnsi" w:cstheme="minorHAnsi"/>
          <w:color w:val="0A0A0A"/>
          <w:sz w:val="22"/>
          <w:szCs w:val="22"/>
        </w:rPr>
        <w:t xml:space="preserve">Part-time </w:t>
      </w:r>
      <w:r w:rsidR="00D33777" w:rsidRPr="00F86291">
        <w:rPr>
          <w:rStyle w:val="normaltextrun"/>
          <w:rFonts w:asciiTheme="minorHAnsi" w:hAnsiTheme="minorHAnsi" w:cstheme="minorHAnsi"/>
          <w:color w:val="0A0A0A"/>
          <w:sz w:val="22"/>
          <w:szCs w:val="22"/>
        </w:rPr>
        <w:t>F</w:t>
      </w:r>
      <w:r w:rsidR="00DD001E" w:rsidRPr="00F86291">
        <w:rPr>
          <w:rStyle w:val="normaltextrun"/>
          <w:rFonts w:asciiTheme="minorHAnsi" w:hAnsiTheme="minorHAnsi" w:cstheme="minorHAnsi"/>
          <w:color w:val="0A0A0A"/>
          <w:sz w:val="22"/>
          <w:szCs w:val="22"/>
        </w:rPr>
        <w:t>aculty have similar standards</w:t>
      </w:r>
      <w:r w:rsidR="00585E0E" w:rsidRPr="00F86291">
        <w:rPr>
          <w:rStyle w:val="normaltextrun"/>
          <w:rFonts w:asciiTheme="minorHAnsi" w:hAnsiTheme="minorHAnsi" w:cstheme="minorHAnsi"/>
          <w:color w:val="0A0A0A"/>
          <w:sz w:val="22"/>
          <w:szCs w:val="22"/>
        </w:rPr>
        <w:t xml:space="preserve">, </w:t>
      </w:r>
      <w:r w:rsidR="0018207B" w:rsidRPr="00F86291">
        <w:rPr>
          <w:rStyle w:val="normaltextrun"/>
          <w:rFonts w:asciiTheme="minorHAnsi" w:hAnsiTheme="minorHAnsi" w:cstheme="minorHAnsi"/>
          <w:color w:val="0A0A0A"/>
          <w:sz w:val="22"/>
          <w:szCs w:val="22"/>
        </w:rPr>
        <w:t>with</w:t>
      </w:r>
      <w:r w:rsidR="00585E0E" w:rsidRPr="00F86291">
        <w:rPr>
          <w:rStyle w:val="normaltextrun"/>
          <w:rFonts w:asciiTheme="minorHAnsi" w:hAnsiTheme="minorHAnsi" w:cstheme="minorHAnsi"/>
          <w:color w:val="0A0A0A"/>
          <w:sz w:val="22"/>
          <w:szCs w:val="22"/>
        </w:rPr>
        <w:t xml:space="preserve"> exceptions made for </w:t>
      </w:r>
      <w:r w:rsidR="00DC54D5" w:rsidRPr="00F86291">
        <w:rPr>
          <w:rStyle w:val="normaltextrun"/>
          <w:rFonts w:asciiTheme="minorHAnsi" w:hAnsiTheme="minorHAnsi" w:cstheme="minorHAnsi"/>
          <w:color w:val="0A0A0A"/>
          <w:sz w:val="22"/>
          <w:szCs w:val="22"/>
        </w:rPr>
        <w:t>individuals with</w:t>
      </w:r>
      <w:r w:rsidR="00B649BC" w:rsidRPr="00F86291">
        <w:rPr>
          <w:rStyle w:val="normaltextrun"/>
          <w:rFonts w:asciiTheme="minorHAnsi" w:hAnsiTheme="minorHAnsi" w:cstheme="minorHAnsi"/>
          <w:color w:val="0A0A0A"/>
          <w:sz w:val="22"/>
          <w:szCs w:val="22"/>
        </w:rPr>
        <w:t xml:space="preserve"> significant professional experience and expertise</w:t>
      </w:r>
      <w:r w:rsidR="00DC54D5" w:rsidRPr="00F86291">
        <w:rPr>
          <w:rStyle w:val="normaltextrun"/>
          <w:rFonts w:asciiTheme="minorHAnsi" w:hAnsiTheme="minorHAnsi" w:cstheme="minorHAnsi"/>
          <w:color w:val="0A0A0A"/>
          <w:sz w:val="22"/>
          <w:szCs w:val="22"/>
        </w:rPr>
        <w:t>. I</w:t>
      </w:r>
      <w:r w:rsidR="007B12C7" w:rsidRPr="00F86291">
        <w:rPr>
          <w:rStyle w:val="normaltextrun"/>
          <w:rFonts w:asciiTheme="minorHAnsi" w:hAnsiTheme="minorHAnsi" w:cstheme="minorHAnsi"/>
          <w:color w:val="0A0A0A"/>
          <w:sz w:val="22"/>
          <w:szCs w:val="22"/>
        </w:rPr>
        <w:t>n those cases, an additional review is conducted</w:t>
      </w:r>
      <w:r w:rsidR="009757EC" w:rsidRPr="00F86291">
        <w:rPr>
          <w:rStyle w:val="normaltextrun"/>
          <w:rFonts w:asciiTheme="minorHAnsi" w:hAnsiTheme="minorHAnsi" w:cstheme="minorHAnsi"/>
          <w:color w:val="0A0A0A"/>
          <w:sz w:val="22"/>
          <w:szCs w:val="22"/>
        </w:rPr>
        <w:t>.</w:t>
      </w:r>
    </w:p>
    <w:p w14:paraId="72C72F2F" w14:textId="509344FA" w:rsidR="00D65F7D" w:rsidRPr="00EB254A" w:rsidRDefault="00AA4A86" w:rsidP="00F86291">
      <w:pPr>
        <w:pStyle w:val="paragraph"/>
        <w:spacing w:after="0"/>
        <w:textAlignment w:val="baseline"/>
        <w:rPr>
          <w:rStyle w:val="eop"/>
          <w:rFonts w:asciiTheme="minorHAnsi" w:hAnsiTheme="minorHAnsi" w:cstheme="minorHAnsi"/>
          <w:sz w:val="22"/>
          <w:szCs w:val="22"/>
        </w:rPr>
      </w:pPr>
      <w:r w:rsidRPr="00F86291">
        <w:rPr>
          <w:rStyle w:val="normaltextrun"/>
          <w:rFonts w:asciiTheme="minorHAnsi" w:hAnsiTheme="minorHAnsi" w:cstheme="minorHAnsi"/>
          <w:color w:val="FF0000"/>
          <w:sz w:val="22"/>
          <w:szCs w:val="22"/>
        </w:rPr>
        <w:t>(6.4 and 6.5)</w:t>
      </w:r>
      <w:r w:rsidRPr="00F86291">
        <w:rPr>
          <w:rStyle w:val="normaltextrun"/>
          <w:rFonts w:asciiTheme="minorHAnsi" w:hAnsiTheme="minorHAnsi" w:cstheme="minorHAnsi"/>
          <w:sz w:val="22"/>
          <w:szCs w:val="22"/>
        </w:rPr>
        <w:t xml:space="preserve"> </w:t>
      </w:r>
      <w:r w:rsidR="00746001" w:rsidRPr="00F86291">
        <w:rPr>
          <w:rStyle w:val="normaltextrun"/>
          <w:rFonts w:asciiTheme="minorHAnsi" w:hAnsiTheme="minorHAnsi" w:cstheme="minorHAnsi"/>
          <w:sz w:val="22"/>
          <w:szCs w:val="22"/>
        </w:rPr>
        <w:t>The recruiting and hiring process</w:t>
      </w:r>
      <w:r w:rsidR="002D3A3C" w:rsidRPr="00F86291">
        <w:rPr>
          <w:rStyle w:val="normaltextrun"/>
          <w:rFonts w:asciiTheme="minorHAnsi" w:hAnsiTheme="minorHAnsi" w:cstheme="minorHAnsi"/>
          <w:sz w:val="22"/>
          <w:szCs w:val="22"/>
        </w:rPr>
        <w:t>es</w:t>
      </w:r>
      <w:r w:rsidR="00746001" w:rsidRPr="00F86291">
        <w:rPr>
          <w:rStyle w:val="normaltextrun"/>
          <w:rFonts w:asciiTheme="minorHAnsi" w:hAnsiTheme="minorHAnsi" w:cstheme="minorHAnsi"/>
          <w:sz w:val="22"/>
          <w:szCs w:val="22"/>
        </w:rPr>
        <w:t xml:space="preserve"> operat</w:t>
      </w:r>
      <w:r w:rsidR="00F32659" w:rsidRPr="00F86291">
        <w:rPr>
          <w:rStyle w:val="normaltextrun"/>
          <w:rFonts w:asciiTheme="minorHAnsi" w:hAnsiTheme="minorHAnsi" w:cstheme="minorHAnsi"/>
          <w:sz w:val="22"/>
          <w:szCs w:val="22"/>
        </w:rPr>
        <w:t>e</w:t>
      </w:r>
      <w:r w:rsidR="00746001" w:rsidRPr="00F86291">
        <w:rPr>
          <w:rStyle w:val="normaltextrun"/>
          <w:rFonts w:asciiTheme="minorHAnsi" w:hAnsiTheme="minorHAnsi" w:cstheme="minorHAnsi"/>
          <w:sz w:val="22"/>
          <w:szCs w:val="22"/>
        </w:rPr>
        <w:t xml:space="preserve"> according to </w:t>
      </w:r>
      <w:hyperlink r:id="rId10" w:history="1">
        <w:r w:rsidR="00746001" w:rsidRPr="00F86291">
          <w:rPr>
            <w:rStyle w:val="Hyperlink"/>
            <w:rFonts w:asciiTheme="minorHAnsi" w:hAnsiTheme="minorHAnsi" w:cstheme="minorHAnsi"/>
            <w:sz w:val="22"/>
            <w:szCs w:val="22"/>
          </w:rPr>
          <w:t>established procedures</w:t>
        </w:r>
      </w:hyperlink>
      <w:r w:rsidR="00746001" w:rsidRPr="00F86291">
        <w:rPr>
          <w:rStyle w:val="normaltextrun"/>
          <w:rFonts w:asciiTheme="minorHAnsi" w:hAnsiTheme="minorHAnsi" w:cstheme="minorHAnsi"/>
          <w:sz w:val="22"/>
          <w:szCs w:val="22"/>
        </w:rPr>
        <w:t xml:space="preserve"> and </w:t>
      </w:r>
      <w:r w:rsidR="000028AD" w:rsidRPr="00F86291">
        <w:rPr>
          <w:rStyle w:val="normaltextrun"/>
          <w:rFonts w:asciiTheme="minorHAnsi" w:hAnsiTheme="minorHAnsi" w:cstheme="minorHAnsi"/>
          <w:sz w:val="22"/>
          <w:szCs w:val="22"/>
        </w:rPr>
        <w:t>are</w:t>
      </w:r>
      <w:r w:rsidR="00746001" w:rsidRPr="00F86291">
        <w:rPr>
          <w:rStyle w:val="normaltextrun"/>
          <w:rFonts w:asciiTheme="minorHAnsi" w:hAnsiTheme="minorHAnsi" w:cstheme="minorHAnsi"/>
          <w:sz w:val="22"/>
          <w:szCs w:val="22"/>
        </w:rPr>
        <w:t xml:space="preserve"> a collaborative effort among </w:t>
      </w:r>
      <w:r w:rsidR="00BC6D43">
        <w:rPr>
          <w:rStyle w:val="normaltextrun"/>
          <w:rFonts w:asciiTheme="minorHAnsi" w:hAnsiTheme="minorHAnsi" w:cstheme="minorHAnsi"/>
          <w:sz w:val="22"/>
          <w:szCs w:val="22"/>
        </w:rPr>
        <w:t>Human Resources (</w:t>
      </w:r>
      <w:r w:rsidR="00746001" w:rsidRPr="00F86291">
        <w:rPr>
          <w:rStyle w:val="normaltextrun"/>
          <w:rFonts w:asciiTheme="minorHAnsi" w:hAnsiTheme="minorHAnsi" w:cstheme="minorHAnsi"/>
          <w:sz w:val="22"/>
          <w:szCs w:val="22"/>
        </w:rPr>
        <w:t>HR</w:t>
      </w:r>
      <w:r w:rsidR="00BC6D43">
        <w:rPr>
          <w:rStyle w:val="normaltextrun"/>
          <w:rFonts w:asciiTheme="minorHAnsi" w:hAnsiTheme="minorHAnsi" w:cstheme="minorHAnsi"/>
          <w:sz w:val="22"/>
          <w:szCs w:val="22"/>
        </w:rPr>
        <w:t>)</w:t>
      </w:r>
      <w:r w:rsidR="00746001" w:rsidRPr="00F86291">
        <w:rPr>
          <w:rStyle w:val="normaltextrun"/>
          <w:rFonts w:asciiTheme="minorHAnsi" w:hAnsiTheme="minorHAnsi" w:cstheme="minorHAnsi"/>
          <w:sz w:val="22"/>
          <w:szCs w:val="22"/>
        </w:rPr>
        <w:t xml:space="preserve">, </w:t>
      </w:r>
      <w:r w:rsidR="00BC6D43">
        <w:rPr>
          <w:rStyle w:val="normaltextrun"/>
          <w:rFonts w:asciiTheme="minorHAnsi" w:hAnsiTheme="minorHAnsi" w:cstheme="minorHAnsi"/>
          <w:sz w:val="22"/>
          <w:szCs w:val="22"/>
        </w:rPr>
        <w:t>Office of Equity and Inclusion (</w:t>
      </w:r>
      <w:r w:rsidR="00746001" w:rsidRPr="00F86291">
        <w:rPr>
          <w:rStyle w:val="normaltextrun"/>
          <w:rFonts w:asciiTheme="minorHAnsi" w:hAnsiTheme="minorHAnsi" w:cstheme="minorHAnsi"/>
          <w:sz w:val="22"/>
          <w:szCs w:val="22"/>
        </w:rPr>
        <w:t>OEI</w:t>
      </w:r>
      <w:r w:rsidR="00BC6D43">
        <w:rPr>
          <w:rStyle w:val="normaltextrun"/>
          <w:rFonts w:asciiTheme="minorHAnsi" w:hAnsiTheme="minorHAnsi" w:cstheme="minorHAnsi"/>
          <w:sz w:val="22"/>
          <w:szCs w:val="22"/>
        </w:rPr>
        <w:t>)</w:t>
      </w:r>
      <w:r w:rsidR="00746001" w:rsidRPr="00F86291">
        <w:rPr>
          <w:rStyle w:val="normaltextrun"/>
          <w:rFonts w:asciiTheme="minorHAnsi" w:hAnsiTheme="minorHAnsi" w:cstheme="minorHAnsi"/>
          <w:sz w:val="22"/>
          <w:szCs w:val="22"/>
        </w:rPr>
        <w:t>, the hiring department, a</w:t>
      </w:r>
      <w:r w:rsidR="00875E03" w:rsidRPr="00F86291">
        <w:rPr>
          <w:rStyle w:val="normaltextrun"/>
          <w:rFonts w:asciiTheme="minorHAnsi" w:hAnsiTheme="minorHAnsi" w:cstheme="minorHAnsi"/>
          <w:sz w:val="22"/>
          <w:szCs w:val="22"/>
        </w:rPr>
        <w:t xml:space="preserve">nd </w:t>
      </w:r>
      <w:r w:rsidR="002D3A3C" w:rsidRPr="00F86291">
        <w:rPr>
          <w:rStyle w:val="normaltextrun"/>
          <w:rFonts w:asciiTheme="minorHAnsi" w:hAnsiTheme="minorHAnsi" w:cstheme="minorHAnsi"/>
          <w:sz w:val="22"/>
          <w:szCs w:val="22"/>
        </w:rPr>
        <w:t>appropriate personnel</w:t>
      </w:r>
      <w:r w:rsidRPr="00F86291">
        <w:rPr>
          <w:rStyle w:val="normaltextrun"/>
          <w:rFonts w:asciiTheme="minorHAnsi" w:hAnsiTheme="minorHAnsi" w:cstheme="minorHAnsi"/>
          <w:sz w:val="22"/>
          <w:szCs w:val="22"/>
        </w:rPr>
        <w:t xml:space="preserve"> </w:t>
      </w:r>
      <w:r w:rsidR="00D74996" w:rsidRPr="00F86291">
        <w:rPr>
          <w:rStyle w:val="normaltextrun"/>
          <w:rFonts w:asciiTheme="minorHAnsi" w:hAnsiTheme="minorHAnsi" w:cstheme="minorHAnsi"/>
          <w:sz w:val="22"/>
          <w:szCs w:val="22"/>
        </w:rPr>
        <w:t xml:space="preserve">to ensure an open and equitable process. </w:t>
      </w:r>
      <w:r w:rsidR="00D74996" w:rsidRPr="00F86291">
        <w:rPr>
          <w:rStyle w:val="normaltextrun"/>
          <w:rFonts w:asciiTheme="minorHAnsi" w:hAnsiTheme="minorHAnsi" w:cstheme="minorHAnsi"/>
          <w:color w:val="0A0A0A"/>
          <w:sz w:val="22"/>
          <w:szCs w:val="22"/>
        </w:rPr>
        <w:t>While deans make job offers, the Faculty in each department comprise the search committees for open Faculty lines.</w:t>
      </w:r>
      <w:r w:rsidR="00D74996" w:rsidRPr="00F86291">
        <w:rPr>
          <w:rStyle w:val="eop"/>
          <w:rFonts w:asciiTheme="minorHAnsi" w:hAnsiTheme="minorHAnsi" w:cstheme="minorHAnsi"/>
          <w:color w:val="0A0A0A"/>
          <w:sz w:val="22"/>
          <w:szCs w:val="22"/>
        </w:rPr>
        <w:t> This standardization assures that Faculty recruitment is consistent with all legal requirements and provides appropriate equal employment opportunities.</w:t>
      </w:r>
      <w:r w:rsidR="00F476D4" w:rsidRPr="00F86291">
        <w:rPr>
          <w:rStyle w:val="normaltextrun"/>
          <w:rFonts w:asciiTheme="minorHAnsi" w:hAnsiTheme="minorHAnsi" w:cstheme="minorHAnsi"/>
          <w:sz w:val="22"/>
          <w:szCs w:val="22"/>
        </w:rPr>
        <w:t xml:space="preserve"> </w:t>
      </w:r>
      <w:r w:rsidR="00E45609" w:rsidRPr="00F86291">
        <w:rPr>
          <w:rStyle w:val="eop"/>
          <w:rFonts w:asciiTheme="minorHAnsi" w:hAnsiTheme="minorHAnsi" w:cstheme="minorHAnsi"/>
          <w:color w:val="0A0A0A"/>
          <w:sz w:val="22"/>
          <w:szCs w:val="22"/>
        </w:rPr>
        <w:t xml:space="preserve">Potential candidates are vetted by </w:t>
      </w:r>
      <w:r w:rsidR="00BC6D43">
        <w:rPr>
          <w:rStyle w:val="normaltextrun"/>
          <w:rFonts w:asciiTheme="minorHAnsi" w:hAnsiTheme="minorHAnsi" w:cstheme="minorHAnsi"/>
          <w:sz w:val="22"/>
          <w:szCs w:val="22"/>
        </w:rPr>
        <w:t xml:space="preserve">HR </w:t>
      </w:r>
      <w:r w:rsidR="00D65F7D" w:rsidRPr="00F86291">
        <w:rPr>
          <w:rStyle w:val="normaltextrun"/>
          <w:rFonts w:asciiTheme="minorHAnsi" w:hAnsiTheme="minorHAnsi" w:cstheme="minorHAnsi"/>
          <w:sz w:val="22"/>
          <w:szCs w:val="22"/>
        </w:rPr>
        <w:t>to ensure that candidates have the appropriate qualifications for their positions</w:t>
      </w:r>
      <w:r w:rsidR="00D65F7D" w:rsidRPr="00F86291">
        <w:rPr>
          <w:rStyle w:val="normaltextrun"/>
          <w:rFonts w:asciiTheme="minorHAnsi" w:hAnsiTheme="minorHAnsi" w:cstheme="minorHAnsi"/>
          <w:color w:val="0A0A0A"/>
          <w:sz w:val="22"/>
          <w:szCs w:val="22"/>
        </w:rPr>
        <w:t xml:space="preserve">. In addition, </w:t>
      </w:r>
      <w:r w:rsidR="002451B8" w:rsidRPr="00F86291">
        <w:rPr>
          <w:rStyle w:val="normaltextrun"/>
          <w:rFonts w:asciiTheme="minorHAnsi" w:hAnsiTheme="minorHAnsi" w:cstheme="minorHAnsi"/>
          <w:color w:val="0A0A0A"/>
          <w:sz w:val="22"/>
          <w:szCs w:val="22"/>
        </w:rPr>
        <w:t xml:space="preserve">academic </w:t>
      </w:r>
      <w:r w:rsidR="00D65F7D" w:rsidRPr="00F86291">
        <w:rPr>
          <w:rStyle w:val="normaltextrun"/>
          <w:rFonts w:asciiTheme="minorHAnsi" w:hAnsiTheme="minorHAnsi" w:cstheme="minorHAnsi"/>
          <w:color w:val="0A0A0A"/>
          <w:sz w:val="22"/>
          <w:szCs w:val="22"/>
        </w:rPr>
        <w:t xml:space="preserve">departments, </w:t>
      </w:r>
      <w:r w:rsidR="00D65F7D" w:rsidRPr="00F86291">
        <w:rPr>
          <w:rStyle w:val="normaltextrun"/>
          <w:rFonts w:asciiTheme="minorHAnsi" w:hAnsiTheme="minorHAnsi" w:cstheme="minorHAnsi"/>
          <w:color w:val="0A0A0A"/>
          <w:sz w:val="22"/>
          <w:szCs w:val="22"/>
        </w:rPr>
        <w:lastRenderedPageBreak/>
        <w:t xml:space="preserve">deans, and </w:t>
      </w:r>
      <w:r w:rsidR="00BC6D43">
        <w:rPr>
          <w:rStyle w:val="normaltextrun"/>
          <w:rFonts w:asciiTheme="minorHAnsi" w:hAnsiTheme="minorHAnsi" w:cstheme="minorHAnsi"/>
          <w:color w:val="0A0A0A"/>
          <w:sz w:val="22"/>
          <w:szCs w:val="22"/>
        </w:rPr>
        <w:t>OEI</w:t>
      </w:r>
      <w:r w:rsidR="00D65F7D" w:rsidRPr="00F86291">
        <w:rPr>
          <w:rStyle w:val="normaltextrun"/>
          <w:rFonts w:asciiTheme="minorHAnsi" w:hAnsiTheme="minorHAnsi" w:cstheme="minorHAnsi"/>
          <w:color w:val="0A0A0A"/>
          <w:sz w:val="22"/>
          <w:szCs w:val="22"/>
        </w:rPr>
        <w:t xml:space="preserve"> </w:t>
      </w:r>
      <w:r w:rsidR="00CA7910" w:rsidRPr="00F86291">
        <w:rPr>
          <w:rStyle w:val="normaltextrun"/>
          <w:rFonts w:asciiTheme="minorHAnsi" w:hAnsiTheme="minorHAnsi" w:cstheme="minorHAnsi"/>
          <w:color w:val="0A0A0A"/>
          <w:sz w:val="22"/>
          <w:szCs w:val="22"/>
        </w:rPr>
        <w:t xml:space="preserve">collectively ensure </w:t>
      </w:r>
      <w:r w:rsidR="00D65F7D" w:rsidRPr="00F86291">
        <w:rPr>
          <w:rStyle w:val="normaltextrun"/>
          <w:rFonts w:asciiTheme="minorHAnsi" w:hAnsiTheme="minorHAnsi" w:cstheme="minorHAnsi"/>
          <w:color w:val="0A0A0A"/>
          <w:sz w:val="22"/>
          <w:szCs w:val="22"/>
        </w:rPr>
        <w:t xml:space="preserve">that objective measures </w:t>
      </w:r>
      <w:r w:rsidR="009B7C1C" w:rsidRPr="00F86291">
        <w:rPr>
          <w:rStyle w:val="normaltextrun"/>
          <w:rFonts w:asciiTheme="minorHAnsi" w:hAnsiTheme="minorHAnsi" w:cstheme="minorHAnsi"/>
          <w:color w:val="0A0A0A"/>
          <w:sz w:val="22"/>
          <w:szCs w:val="22"/>
        </w:rPr>
        <w:t xml:space="preserve">are used to </w:t>
      </w:r>
      <w:r w:rsidR="002B3832" w:rsidRPr="00F86291">
        <w:rPr>
          <w:rStyle w:val="normaltextrun"/>
          <w:rFonts w:asciiTheme="minorHAnsi" w:hAnsiTheme="minorHAnsi" w:cstheme="minorHAnsi"/>
          <w:color w:val="0A0A0A"/>
          <w:sz w:val="22"/>
          <w:szCs w:val="22"/>
        </w:rPr>
        <w:t>identify</w:t>
      </w:r>
      <w:r w:rsidR="00D10AB3" w:rsidRPr="00F86291">
        <w:rPr>
          <w:rStyle w:val="normaltextrun"/>
          <w:rFonts w:asciiTheme="minorHAnsi" w:hAnsiTheme="minorHAnsi" w:cstheme="minorHAnsi"/>
          <w:color w:val="0A0A0A"/>
          <w:sz w:val="22"/>
          <w:szCs w:val="22"/>
        </w:rPr>
        <w:t xml:space="preserve"> </w:t>
      </w:r>
      <w:r w:rsidR="00246A55" w:rsidRPr="00F86291">
        <w:rPr>
          <w:rStyle w:val="normaltextrun"/>
          <w:rFonts w:asciiTheme="minorHAnsi" w:hAnsiTheme="minorHAnsi" w:cstheme="minorHAnsi"/>
          <w:color w:val="0A0A0A"/>
          <w:sz w:val="22"/>
          <w:szCs w:val="22"/>
        </w:rPr>
        <w:t>qualified</w:t>
      </w:r>
      <w:r w:rsidR="00D65F7D" w:rsidRPr="00F86291">
        <w:rPr>
          <w:rStyle w:val="normaltextrun"/>
          <w:rFonts w:asciiTheme="minorHAnsi" w:hAnsiTheme="minorHAnsi" w:cstheme="minorHAnsi"/>
          <w:color w:val="0A0A0A"/>
          <w:sz w:val="22"/>
          <w:szCs w:val="22"/>
        </w:rPr>
        <w:t xml:space="preserve"> candidate</w:t>
      </w:r>
      <w:r w:rsidR="00246A55" w:rsidRPr="00F86291">
        <w:rPr>
          <w:rStyle w:val="normaltextrun"/>
          <w:rFonts w:asciiTheme="minorHAnsi" w:hAnsiTheme="minorHAnsi" w:cstheme="minorHAnsi"/>
          <w:color w:val="0A0A0A"/>
          <w:sz w:val="22"/>
          <w:szCs w:val="22"/>
        </w:rPr>
        <w:t>s</w:t>
      </w:r>
      <w:r w:rsidR="00334DE9" w:rsidRPr="00F86291">
        <w:rPr>
          <w:rStyle w:val="eop"/>
          <w:rFonts w:asciiTheme="minorHAnsi" w:hAnsiTheme="minorHAnsi" w:cstheme="minorHAnsi"/>
          <w:sz w:val="22"/>
          <w:szCs w:val="22"/>
        </w:rPr>
        <w:t xml:space="preserve">. </w:t>
      </w:r>
      <w:r w:rsidR="00B50E0D" w:rsidRPr="00F86291">
        <w:rPr>
          <w:rStyle w:val="eop"/>
          <w:rFonts w:asciiTheme="minorHAnsi" w:hAnsiTheme="minorHAnsi" w:cstheme="minorHAnsi"/>
          <w:sz w:val="22"/>
          <w:szCs w:val="22"/>
        </w:rPr>
        <w:t xml:space="preserve">Once selected, </w:t>
      </w:r>
      <w:r w:rsidR="00823067" w:rsidRPr="00F86291">
        <w:rPr>
          <w:rStyle w:val="normaltextrun"/>
          <w:rFonts w:asciiTheme="minorHAnsi" w:hAnsiTheme="minorHAnsi" w:cstheme="minorHAnsi"/>
          <w:color w:val="000000"/>
          <w:sz w:val="22"/>
          <w:szCs w:val="22"/>
        </w:rPr>
        <w:t>HR</w:t>
      </w:r>
      <w:r w:rsidR="00D65F7D" w:rsidRPr="00F86291">
        <w:rPr>
          <w:rStyle w:val="normaltextrun"/>
          <w:rFonts w:asciiTheme="minorHAnsi" w:hAnsiTheme="minorHAnsi" w:cstheme="minorHAnsi"/>
          <w:color w:val="000000"/>
          <w:sz w:val="22"/>
          <w:szCs w:val="22"/>
        </w:rPr>
        <w:t xml:space="preserve"> provides each hire with </w:t>
      </w:r>
      <w:r w:rsidR="00B50E0D" w:rsidRPr="00F86291">
        <w:rPr>
          <w:rStyle w:val="normaltextrun"/>
          <w:rFonts w:asciiTheme="minorHAnsi" w:hAnsiTheme="minorHAnsi" w:cstheme="minorHAnsi"/>
          <w:color w:val="000000"/>
          <w:sz w:val="22"/>
          <w:szCs w:val="22"/>
        </w:rPr>
        <w:t xml:space="preserve">a </w:t>
      </w:r>
      <w:r w:rsidR="00D65F7D" w:rsidRPr="00F86291">
        <w:rPr>
          <w:rStyle w:val="normaltextrun"/>
          <w:rFonts w:asciiTheme="minorHAnsi" w:hAnsiTheme="minorHAnsi" w:cstheme="minorHAnsi"/>
          <w:color w:val="000000"/>
          <w:sz w:val="22"/>
          <w:szCs w:val="22"/>
        </w:rPr>
        <w:t>detailed letter outlining the full scope and duration of the appointment, including</w:t>
      </w:r>
      <w:r w:rsidR="000401BF" w:rsidRPr="00F86291">
        <w:rPr>
          <w:rStyle w:val="normaltextrun"/>
          <w:rFonts w:asciiTheme="minorHAnsi" w:hAnsiTheme="minorHAnsi" w:cstheme="minorHAnsi"/>
          <w:color w:val="000000"/>
          <w:sz w:val="22"/>
          <w:szCs w:val="22"/>
        </w:rPr>
        <w:t xml:space="preserve"> any conditions for renewal.</w:t>
      </w:r>
    </w:p>
    <w:p w14:paraId="5761CEAD" w14:textId="69C3420C" w:rsidR="00CE1DDF" w:rsidRPr="00F86291" w:rsidRDefault="009962A7" w:rsidP="00D65F7D">
      <w:pPr>
        <w:pStyle w:val="paragraph"/>
        <w:spacing w:before="0" w:beforeAutospacing="0" w:after="0" w:afterAutospacing="0"/>
        <w:textAlignment w:val="baseline"/>
        <w:rPr>
          <w:rFonts w:asciiTheme="minorHAnsi" w:hAnsiTheme="minorHAnsi" w:cstheme="minorHAnsi"/>
          <w:color w:val="000000"/>
          <w:sz w:val="22"/>
          <w:szCs w:val="22"/>
        </w:rPr>
      </w:pPr>
      <w:r w:rsidRPr="00F86291">
        <w:rPr>
          <w:rStyle w:val="pagebreaktextspan"/>
          <w:rFonts w:asciiTheme="minorHAnsi" w:hAnsiTheme="minorHAnsi" w:cstheme="minorHAnsi"/>
          <w:color w:val="000000" w:themeColor="text1"/>
          <w:sz w:val="22"/>
          <w:szCs w:val="22"/>
          <w:shd w:val="clear" w:color="auto" w:fill="FFFFFF"/>
        </w:rPr>
        <w:t>Central</w:t>
      </w:r>
      <w:r w:rsidRPr="00F86291">
        <w:rPr>
          <w:rStyle w:val="normaltextrun"/>
          <w:rFonts w:asciiTheme="minorHAnsi" w:hAnsiTheme="minorHAnsi" w:cstheme="minorHAnsi"/>
          <w:color w:val="000000" w:themeColor="text1"/>
          <w:sz w:val="22"/>
          <w:szCs w:val="22"/>
        </w:rPr>
        <w:t xml:space="preserve"> is committed to ensuring equal employment opportunity through SP2030 and its annual </w:t>
      </w:r>
      <w:hyperlink r:id="rId11" w:history="1">
        <w:r w:rsidRPr="00F86291">
          <w:rPr>
            <w:rStyle w:val="Hyperlink"/>
            <w:rFonts w:asciiTheme="minorHAnsi" w:hAnsiTheme="minorHAnsi" w:cstheme="minorHAnsi"/>
            <w:sz w:val="22"/>
            <w:szCs w:val="22"/>
          </w:rPr>
          <w:t>Affirmative Action Plan</w:t>
        </w:r>
      </w:hyperlink>
      <w:r w:rsidRPr="00F86291">
        <w:rPr>
          <w:rStyle w:val="normaltextrun"/>
          <w:rFonts w:asciiTheme="minorHAnsi" w:hAnsiTheme="minorHAnsi" w:cstheme="minorHAnsi"/>
          <w:color w:val="000000"/>
          <w:sz w:val="22"/>
          <w:szCs w:val="22"/>
        </w:rPr>
        <w:t xml:space="preserve"> (AAP), which is pursuant to section 46a-68 of the Connecticut General Statutes and the corresponding Affirmative Action Regulations for State Agencies. Progress toward meeting AAP goals is monitored annually by the University and the State Commission on Human Rights and Opportunities (CHRO). Progress toward SP2030 diversity goals is monitored in Goal 1, Metric 1. Improving the diversity of the student body has proven to be easier (up four percent since Fall 2018) than diversifying Faculty and staff (up 2.9 and 1.2 percent, respectively) over the same time. </w:t>
      </w:r>
    </w:p>
    <w:p w14:paraId="13F38C92" w14:textId="2E80D8E8" w:rsidR="00D65F7D" w:rsidRPr="00EB254A" w:rsidRDefault="008C0EF1" w:rsidP="00426312">
      <w:pPr>
        <w:pStyle w:val="paragraph"/>
        <w:spacing w:after="0"/>
        <w:textAlignment w:val="baseline"/>
        <w:rPr>
          <w:rFonts w:asciiTheme="minorHAnsi" w:hAnsiTheme="minorHAnsi" w:cstheme="minorHAnsi"/>
          <w:sz w:val="22"/>
          <w:szCs w:val="22"/>
        </w:rPr>
      </w:pPr>
      <w:r w:rsidRPr="00F86291">
        <w:rPr>
          <w:rStyle w:val="normaltextrun"/>
          <w:rFonts w:asciiTheme="minorHAnsi" w:hAnsiTheme="minorHAnsi" w:cstheme="minorHAnsi"/>
          <w:color w:val="0A0A0A"/>
          <w:sz w:val="22"/>
          <w:szCs w:val="22"/>
        </w:rPr>
        <w:t xml:space="preserve">Faculty salaries and benefits are </w:t>
      </w:r>
      <w:r w:rsidR="00A723F7" w:rsidRPr="00F86291">
        <w:rPr>
          <w:rStyle w:val="normaltextrun"/>
          <w:rFonts w:asciiTheme="minorHAnsi" w:hAnsiTheme="minorHAnsi" w:cstheme="minorHAnsi"/>
          <w:color w:val="0A0A0A"/>
          <w:sz w:val="22"/>
          <w:szCs w:val="22"/>
        </w:rPr>
        <w:t xml:space="preserve">competitive and are </w:t>
      </w:r>
      <w:r w:rsidRPr="00F86291">
        <w:rPr>
          <w:rStyle w:val="normaltextrun"/>
          <w:rFonts w:asciiTheme="minorHAnsi" w:hAnsiTheme="minorHAnsi" w:cstheme="minorHAnsi"/>
          <w:color w:val="0A0A0A"/>
          <w:sz w:val="22"/>
          <w:szCs w:val="22"/>
        </w:rPr>
        <w:t xml:space="preserve">collectively bargained by the AAUP while the administrative faculty salaries and benefits are negotiated by the </w:t>
      </w:r>
      <w:hyperlink r:id="rId12" w:history="1">
        <w:r w:rsidRPr="00F86291">
          <w:rPr>
            <w:rStyle w:val="Hyperlink"/>
            <w:rFonts w:asciiTheme="minorHAnsi" w:hAnsiTheme="minorHAnsi" w:cstheme="minorHAnsi"/>
            <w:sz w:val="22"/>
            <w:szCs w:val="22"/>
          </w:rPr>
          <w:t>State University Organization of Administrative Faculty</w:t>
        </w:r>
      </w:hyperlink>
      <w:r w:rsidRPr="00F86291">
        <w:rPr>
          <w:rStyle w:val="normaltextrun"/>
          <w:rFonts w:asciiTheme="minorHAnsi" w:hAnsiTheme="minorHAnsi" w:cstheme="minorHAnsi"/>
          <w:color w:val="0A0A0A"/>
          <w:sz w:val="22"/>
          <w:szCs w:val="22"/>
        </w:rPr>
        <w:t xml:space="preserve"> (SUOAF) union. </w:t>
      </w:r>
      <w:r w:rsidR="005079C1" w:rsidRPr="00F86291">
        <w:rPr>
          <w:rFonts w:asciiTheme="minorHAnsi" w:hAnsiTheme="minorHAnsi" w:cstheme="minorHAnsi"/>
          <w:sz w:val="22"/>
          <w:szCs w:val="22"/>
        </w:rPr>
        <w:t>Fall 2021 d</w:t>
      </w:r>
      <w:r w:rsidR="00862587" w:rsidRPr="00F86291">
        <w:rPr>
          <w:rFonts w:asciiTheme="minorHAnsi" w:hAnsiTheme="minorHAnsi" w:cstheme="minorHAnsi"/>
          <w:sz w:val="22"/>
          <w:szCs w:val="22"/>
        </w:rPr>
        <w:t xml:space="preserve">ata </w:t>
      </w:r>
      <w:r w:rsidR="005079C1" w:rsidRPr="00F86291">
        <w:rPr>
          <w:rFonts w:asciiTheme="minorHAnsi" w:hAnsiTheme="minorHAnsi" w:cstheme="minorHAnsi"/>
          <w:sz w:val="22"/>
          <w:szCs w:val="22"/>
        </w:rPr>
        <w:t>provided by</w:t>
      </w:r>
      <w:r w:rsidR="00862587" w:rsidRPr="00F86291">
        <w:rPr>
          <w:rFonts w:asciiTheme="minorHAnsi" w:hAnsiTheme="minorHAnsi" w:cstheme="minorHAnsi"/>
          <w:sz w:val="22"/>
          <w:szCs w:val="22"/>
        </w:rPr>
        <w:t xml:space="preserve"> the College and University Professional Association (CUPA) </w:t>
      </w:r>
      <w:r w:rsidR="005079C1" w:rsidRPr="00F86291">
        <w:rPr>
          <w:rFonts w:asciiTheme="minorHAnsi" w:hAnsiTheme="minorHAnsi" w:cstheme="minorHAnsi"/>
          <w:sz w:val="22"/>
          <w:szCs w:val="22"/>
        </w:rPr>
        <w:t xml:space="preserve">for OIRA’s </w:t>
      </w:r>
      <w:hyperlink r:id="rId13" w:history="1">
        <w:r w:rsidR="00426312" w:rsidRPr="00F86291">
          <w:rPr>
            <w:rStyle w:val="Hyperlink"/>
            <w:rFonts w:asciiTheme="minorHAnsi" w:hAnsiTheme="minorHAnsi" w:cstheme="minorHAnsi"/>
            <w:sz w:val="22"/>
            <w:szCs w:val="22"/>
          </w:rPr>
          <w:t xml:space="preserve">annual </w:t>
        </w:r>
        <w:r w:rsidR="00203D2E" w:rsidRPr="00F86291">
          <w:rPr>
            <w:rStyle w:val="Hyperlink"/>
            <w:rFonts w:asciiTheme="minorHAnsi" w:hAnsiTheme="minorHAnsi" w:cstheme="minorHAnsi"/>
            <w:sz w:val="22"/>
            <w:szCs w:val="22"/>
          </w:rPr>
          <w:t>benchmarking study</w:t>
        </w:r>
      </w:hyperlink>
      <w:r w:rsidR="005079C1" w:rsidRPr="00F86291">
        <w:rPr>
          <w:rFonts w:asciiTheme="minorHAnsi" w:hAnsiTheme="minorHAnsi" w:cstheme="minorHAnsi"/>
          <w:sz w:val="22"/>
          <w:szCs w:val="22"/>
        </w:rPr>
        <w:t xml:space="preserve"> shows that</w:t>
      </w:r>
      <w:r w:rsidR="00862587" w:rsidRPr="00F86291">
        <w:rPr>
          <w:rFonts w:asciiTheme="minorHAnsi" w:hAnsiTheme="minorHAnsi" w:cstheme="minorHAnsi"/>
          <w:sz w:val="22"/>
          <w:szCs w:val="22"/>
        </w:rPr>
        <w:t xml:space="preserve"> </w:t>
      </w:r>
      <w:r w:rsidR="00862587" w:rsidRPr="00F86291">
        <w:rPr>
          <w:rStyle w:val="normaltextrun"/>
          <w:rFonts w:asciiTheme="minorHAnsi" w:hAnsiTheme="minorHAnsi" w:cstheme="minorHAnsi"/>
          <w:color w:val="0A0A0A"/>
          <w:sz w:val="22"/>
          <w:szCs w:val="22"/>
        </w:rPr>
        <w:t xml:space="preserve">CCSU’s full-time </w:t>
      </w:r>
      <w:r w:rsidR="00565102" w:rsidRPr="00F86291">
        <w:rPr>
          <w:rStyle w:val="normaltextrun"/>
          <w:rFonts w:asciiTheme="minorHAnsi" w:hAnsiTheme="minorHAnsi" w:cstheme="minorHAnsi"/>
          <w:color w:val="0A0A0A"/>
          <w:sz w:val="22"/>
          <w:szCs w:val="22"/>
        </w:rPr>
        <w:t xml:space="preserve"> average </w:t>
      </w:r>
      <w:r w:rsidR="00F93C80" w:rsidRPr="00F86291">
        <w:rPr>
          <w:rStyle w:val="normaltextrun"/>
          <w:rFonts w:asciiTheme="minorHAnsi" w:hAnsiTheme="minorHAnsi" w:cstheme="minorHAnsi"/>
          <w:color w:val="0A0A0A"/>
          <w:sz w:val="22"/>
          <w:szCs w:val="22"/>
        </w:rPr>
        <w:t>F</w:t>
      </w:r>
      <w:r w:rsidR="00565102" w:rsidRPr="00F86291">
        <w:rPr>
          <w:rStyle w:val="normaltextrun"/>
          <w:rFonts w:asciiTheme="minorHAnsi" w:hAnsiTheme="minorHAnsi" w:cstheme="minorHAnsi"/>
          <w:color w:val="0A0A0A"/>
          <w:sz w:val="22"/>
          <w:szCs w:val="22"/>
        </w:rPr>
        <w:t xml:space="preserve">aculty salary of $99,306 </w:t>
      </w:r>
      <w:r w:rsidR="00862587" w:rsidRPr="00F86291">
        <w:rPr>
          <w:rStyle w:val="normaltextrun"/>
          <w:rFonts w:asciiTheme="minorHAnsi" w:hAnsiTheme="minorHAnsi" w:cstheme="minorHAnsi"/>
          <w:color w:val="0A0A0A"/>
          <w:sz w:val="22"/>
          <w:szCs w:val="22"/>
        </w:rPr>
        <w:t>exceed</w:t>
      </w:r>
      <w:r w:rsidR="00565102" w:rsidRPr="00F86291">
        <w:rPr>
          <w:rStyle w:val="normaltextrun"/>
          <w:rFonts w:asciiTheme="minorHAnsi" w:hAnsiTheme="minorHAnsi" w:cstheme="minorHAnsi"/>
          <w:color w:val="0A0A0A"/>
          <w:sz w:val="22"/>
          <w:szCs w:val="22"/>
        </w:rPr>
        <w:t>s</w:t>
      </w:r>
      <w:r w:rsidR="00862587" w:rsidRPr="00F86291">
        <w:rPr>
          <w:rStyle w:val="normaltextrun"/>
          <w:rFonts w:asciiTheme="minorHAnsi" w:hAnsiTheme="minorHAnsi" w:cstheme="minorHAnsi"/>
          <w:color w:val="0A0A0A"/>
          <w:sz w:val="22"/>
          <w:szCs w:val="22"/>
        </w:rPr>
        <w:t xml:space="preserve"> the average salar</w:t>
      </w:r>
      <w:r w:rsidR="00F93C80" w:rsidRPr="00F86291">
        <w:rPr>
          <w:rStyle w:val="normaltextrun"/>
          <w:rFonts w:asciiTheme="minorHAnsi" w:hAnsiTheme="minorHAnsi" w:cstheme="minorHAnsi"/>
          <w:color w:val="0A0A0A"/>
          <w:sz w:val="22"/>
          <w:szCs w:val="22"/>
        </w:rPr>
        <w:t>y</w:t>
      </w:r>
      <w:r w:rsidR="00862587" w:rsidRPr="00F86291">
        <w:rPr>
          <w:rStyle w:val="normaltextrun"/>
          <w:rFonts w:asciiTheme="minorHAnsi" w:hAnsiTheme="minorHAnsi" w:cstheme="minorHAnsi"/>
          <w:color w:val="0A0A0A"/>
          <w:sz w:val="22"/>
          <w:szCs w:val="22"/>
        </w:rPr>
        <w:t xml:space="preserve"> of </w:t>
      </w:r>
      <w:r w:rsidR="003B3EAA" w:rsidRPr="00F86291">
        <w:rPr>
          <w:rStyle w:val="normaltextrun"/>
          <w:rFonts w:asciiTheme="minorHAnsi" w:hAnsiTheme="minorHAnsi" w:cstheme="minorHAnsi"/>
          <w:color w:val="0A0A0A"/>
          <w:sz w:val="22"/>
          <w:szCs w:val="22"/>
        </w:rPr>
        <w:t xml:space="preserve">$92,479 at </w:t>
      </w:r>
      <w:r w:rsidR="00862587" w:rsidRPr="00F86291">
        <w:rPr>
          <w:rStyle w:val="normaltextrun"/>
          <w:rFonts w:asciiTheme="minorHAnsi" w:hAnsiTheme="minorHAnsi" w:cstheme="minorHAnsi"/>
          <w:color w:val="0A0A0A"/>
          <w:sz w:val="22"/>
          <w:szCs w:val="22"/>
        </w:rPr>
        <w:t xml:space="preserve">Carnegie Master’s level </w:t>
      </w:r>
      <w:r w:rsidR="00862587" w:rsidRPr="00EB254A">
        <w:rPr>
          <w:rStyle w:val="normaltextrun"/>
          <w:rFonts w:asciiTheme="minorHAnsi" w:hAnsiTheme="minorHAnsi" w:cstheme="minorHAnsi"/>
          <w:color w:val="0A0A0A"/>
          <w:sz w:val="22"/>
          <w:szCs w:val="22"/>
        </w:rPr>
        <w:t xml:space="preserve">institutions in the New England and Mid-Atlantic region. </w:t>
      </w:r>
      <w:r w:rsidR="00D65F7D" w:rsidRPr="00EB254A">
        <w:rPr>
          <w:rStyle w:val="normaltextrun"/>
          <w:rFonts w:asciiTheme="minorHAnsi" w:hAnsiTheme="minorHAnsi" w:cstheme="minorHAnsi"/>
          <w:color w:val="0A0A0A"/>
          <w:sz w:val="22"/>
          <w:szCs w:val="22"/>
        </w:rPr>
        <w:t xml:space="preserve">As part of the </w:t>
      </w:r>
      <w:r w:rsidR="009C24F4" w:rsidRPr="00EB254A">
        <w:rPr>
          <w:rStyle w:val="normaltextrun"/>
          <w:rFonts w:asciiTheme="minorHAnsi" w:hAnsiTheme="minorHAnsi" w:cstheme="minorHAnsi"/>
          <w:color w:val="0A0A0A"/>
          <w:sz w:val="22"/>
          <w:szCs w:val="22"/>
        </w:rPr>
        <w:t xml:space="preserve">AAUP </w:t>
      </w:r>
      <w:r w:rsidR="0066755F" w:rsidRPr="00EB254A">
        <w:rPr>
          <w:rStyle w:val="normaltextrun"/>
          <w:rFonts w:asciiTheme="minorHAnsi" w:hAnsiTheme="minorHAnsi" w:cstheme="minorHAnsi"/>
          <w:color w:val="0A0A0A"/>
          <w:sz w:val="22"/>
          <w:szCs w:val="22"/>
        </w:rPr>
        <w:t>and SUOAF agreement</w:t>
      </w:r>
      <w:r w:rsidR="009C24F4" w:rsidRPr="00EB254A">
        <w:rPr>
          <w:rStyle w:val="normaltextrun"/>
          <w:rFonts w:asciiTheme="minorHAnsi" w:hAnsiTheme="minorHAnsi" w:cstheme="minorHAnsi"/>
          <w:color w:val="0A0A0A"/>
          <w:sz w:val="22"/>
          <w:szCs w:val="22"/>
        </w:rPr>
        <w:t>s</w:t>
      </w:r>
      <w:r w:rsidR="00D65F7D" w:rsidRPr="00EB254A">
        <w:rPr>
          <w:rStyle w:val="normaltextrun"/>
          <w:rFonts w:asciiTheme="minorHAnsi" w:hAnsiTheme="minorHAnsi" w:cstheme="minorHAnsi"/>
          <w:color w:val="0A0A0A"/>
          <w:sz w:val="22"/>
          <w:szCs w:val="22"/>
        </w:rPr>
        <w:t xml:space="preserve">, funds are made available for </w:t>
      </w:r>
      <w:r w:rsidR="0066755F" w:rsidRPr="00EB254A">
        <w:rPr>
          <w:rStyle w:val="normaltextrun"/>
          <w:rFonts w:asciiTheme="minorHAnsi" w:hAnsiTheme="minorHAnsi" w:cstheme="minorHAnsi"/>
          <w:color w:val="0A0A0A"/>
          <w:sz w:val="22"/>
          <w:szCs w:val="22"/>
        </w:rPr>
        <w:t>professional development</w:t>
      </w:r>
      <w:r w:rsidR="006D556F" w:rsidRPr="00EB254A">
        <w:rPr>
          <w:rStyle w:val="normaltextrun"/>
          <w:rFonts w:asciiTheme="minorHAnsi" w:hAnsiTheme="minorHAnsi" w:cstheme="minorHAnsi"/>
          <w:color w:val="0A0A0A"/>
          <w:sz w:val="22"/>
          <w:szCs w:val="22"/>
        </w:rPr>
        <w:t xml:space="preserve"> including </w:t>
      </w:r>
      <w:r w:rsidR="00D65F7D" w:rsidRPr="00EB254A">
        <w:rPr>
          <w:rStyle w:val="normaltextrun"/>
          <w:rFonts w:asciiTheme="minorHAnsi" w:hAnsiTheme="minorHAnsi" w:cstheme="minorHAnsi"/>
          <w:color w:val="0A0A0A"/>
          <w:sz w:val="22"/>
          <w:szCs w:val="22"/>
        </w:rPr>
        <w:t xml:space="preserve">travel to workshops and conferences. There </w:t>
      </w:r>
      <w:r w:rsidR="006D556F" w:rsidRPr="00EB254A">
        <w:rPr>
          <w:rStyle w:val="normaltextrun"/>
          <w:rFonts w:asciiTheme="minorHAnsi" w:hAnsiTheme="minorHAnsi" w:cstheme="minorHAnsi"/>
          <w:color w:val="0A0A0A"/>
          <w:sz w:val="22"/>
          <w:szCs w:val="22"/>
        </w:rPr>
        <w:t xml:space="preserve">are </w:t>
      </w:r>
      <w:r w:rsidR="00D65F7D" w:rsidRPr="00EB254A">
        <w:rPr>
          <w:rStyle w:val="normaltextrun"/>
          <w:rFonts w:asciiTheme="minorHAnsi" w:hAnsiTheme="minorHAnsi" w:cstheme="minorHAnsi"/>
          <w:color w:val="0A0A0A"/>
          <w:sz w:val="22"/>
          <w:szCs w:val="22"/>
        </w:rPr>
        <w:t xml:space="preserve">also </w:t>
      </w:r>
      <w:r w:rsidR="007E3B45" w:rsidRPr="00EB254A">
        <w:rPr>
          <w:rStyle w:val="normaltextrun"/>
          <w:rFonts w:asciiTheme="minorHAnsi" w:hAnsiTheme="minorHAnsi" w:cstheme="minorHAnsi"/>
          <w:color w:val="0A0A0A"/>
          <w:sz w:val="22"/>
          <w:szCs w:val="22"/>
        </w:rPr>
        <w:t>training</w:t>
      </w:r>
      <w:r w:rsidR="00D65F7D" w:rsidRPr="00EB254A">
        <w:rPr>
          <w:rStyle w:val="normaltextrun"/>
          <w:rFonts w:asciiTheme="minorHAnsi" w:hAnsiTheme="minorHAnsi" w:cstheme="minorHAnsi"/>
          <w:color w:val="0A0A0A"/>
          <w:sz w:val="22"/>
          <w:szCs w:val="22"/>
        </w:rPr>
        <w:t xml:space="preserve"> opportunities through the internal grants process and the </w:t>
      </w:r>
      <w:r w:rsidR="00F974B2" w:rsidRPr="00EB254A">
        <w:rPr>
          <w:rStyle w:val="normaltextrun"/>
          <w:rFonts w:asciiTheme="minorHAnsi" w:hAnsiTheme="minorHAnsi" w:cstheme="minorHAnsi"/>
          <w:color w:val="0A0A0A"/>
          <w:sz w:val="22"/>
          <w:szCs w:val="22"/>
        </w:rPr>
        <w:t>CTI</w:t>
      </w:r>
      <w:r w:rsidR="00D65F7D" w:rsidRPr="00EB254A">
        <w:rPr>
          <w:rStyle w:val="normaltextrun"/>
          <w:rFonts w:asciiTheme="minorHAnsi" w:hAnsiTheme="minorHAnsi" w:cstheme="minorHAnsi"/>
          <w:color w:val="0A0A0A"/>
          <w:sz w:val="22"/>
          <w:szCs w:val="22"/>
        </w:rPr>
        <w:t>.</w:t>
      </w:r>
      <w:r w:rsidR="00D65F7D" w:rsidRPr="00EB254A">
        <w:rPr>
          <w:rStyle w:val="pagebreaktextspan"/>
          <w:rFonts w:asciiTheme="minorHAnsi" w:hAnsiTheme="minorHAnsi" w:cstheme="minorHAnsi"/>
          <w:color w:val="666666"/>
          <w:sz w:val="22"/>
          <w:szCs w:val="22"/>
          <w:shd w:val="clear" w:color="auto" w:fill="FFFFFF"/>
        </w:rPr>
        <w:t> </w:t>
      </w:r>
      <w:r w:rsidR="00D65F7D" w:rsidRPr="00EB254A">
        <w:rPr>
          <w:rStyle w:val="eop"/>
          <w:rFonts w:asciiTheme="minorHAnsi" w:hAnsiTheme="minorHAnsi" w:cstheme="minorHAnsi"/>
          <w:color w:val="0A0A0A"/>
          <w:sz w:val="22"/>
          <w:szCs w:val="22"/>
        </w:rPr>
        <w:t> </w:t>
      </w:r>
    </w:p>
    <w:p w14:paraId="2B60A02A" w14:textId="4408B23E" w:rsidR="00D65F7D" w:rsidRPr="00EB254A" w:rsidRDefault="000D02B0" w:rsidP="00EC4868">
      <w:pPr>
        <w:pStyle w:val="paragraph"/>
        <w:textAlignment w:val="baseline"/>
        <w:rPr>
          <w:rFonts w:asciiTheme="minorHAnsi" w:hAnsiTheme="minorHAnsi" w:cstheme="minorHAnsi"/>
          <w:sz w:val="22"/>
          <w:szCs w:val="22"/>
        </w:rPr>
      </w:pPr>
      <w:r w:rsidRPr="00EB254A">
        <w:rPr>
          <w:rStyle w:val="eop"/>
          <w:rFonts w:asciiTheme="minorHAnsi" w:hAnsiTheme="minorHAnsi" w:cstheme="minorHAnsi"/>
          <w:color w:val="FF0000"/>
          <w:sz w:val="22"/>
          <w:szCs w:val="22"/>
        </w:rPr>
        <w:t>(6.7)</w:t>
      </w:r>
      <w:r w:rsidRPr="00EB254A">
        <w:rPr>
          <w:rStyle w:val="eop"/>
          <w:rFonts w:asciiTheme="minorHAnsi" w:hAnsiTheme="minorHAnsi" w:cstheme="minorHAnsi"/>
          <w:sz w:val="22"/>
          <w:szCs w:val="22"/>
        </w:rPr>
        <w:t xml:space="preserve"> </w:t>
      </w:r>
      <w:r w:rsidR="00327873" w:rsidRPr="00EB254A">
        <w:rPr>
          <w:rStyle w:val="eop"/>
          <w:rFonts w:asciiTheme="minorHAnsi" w:hAnsiTheme="minorHAnsi" w:cstheme="minorHAnsi"/>
          <w:sz w:val="22"/>
          <w:szCs w:val="22"/>
        </w:rPr>
        <w:t xml:space="preserve">The CBA, </w:t>
      </w:r>
      <w:r w:rsidR="00327873" w:rsidRPr="00EB254A">
        <w:rPr>
          <w:rStyle w:val="normaltextrun"/>
          <w:rFonts w:asciiTheme="minorHAnsi" w:hAnsiTheme="minorHAnsi" w:cstheme="minorHAnsi"/>
          <w:sz w:val="22"/>
          <w:szCs w:val="22"/>
        </w:rPr>
        <w:t>along with a</w:t>
      </w:r>
      <w:r w:rsidR="00ED2845" w:rsidRPr="00EB254A">
        <w:rPr>
          <w:rStyle w:val="normaltextrun"/>
          <w:rFonts w:asciiTheme="minorHAnsi" w:hAnsiTheme="minorHAnsi" w:cstheme="minorHAnsi"/>
          <w:sz w:val="22"/>
          <w:szCs w:val="22"/>
        </w:rPr>
        <w:t>cademic department by-laws</w:t>
      </w:r>
      <w:r w:rsidR="00E952D0" w:rsidRPr="00EB254A">
        <w:rPr>
          <w:rStyle w:val="normaltextrun"/>
          <w:rFonts w:asciiTheme="minorHAnsi" w:hAnsiTheme="minorHAnsi" w:cstheme="minorHAnsi"/>
          <w:sz w:val="22"/>
          <w:szCs w:val="22"/>
        </w:rPr>
        <w:t xml:space="preserve"> and guidelines</w:t>
      </w:r>
      <w:r w:rsidR="00327873" w:rsidRPr="00EB254A">
        <w:rPr>
          <w:rStyle w:val="normaltextrun"/>
          <w:rFonts w:asciiTheme="minorHAnsi" w:hAnsiTheme="minorHAnsi" w:cstheme="minorHAnsi"/>
          <w:sz w:val="22"/>
          <w:szCs w:val="22"/>
        </w:rPr>
        <w:t xml:space="preserve">, </w:t>
      </w:r>
      <w:r w:rsidR="00ED2845" w:rsidRPr="00EB254A">
        <w:rPr>
          <w:rStyle w:val="normaltextrun"/>
          <w:rFonts w:asciiTheme="minorHAnsi" w:hAnsiTheme="minorHAnsi" w:cstheme="minorHAnsi"/>
          <w:sz w:val="22"/>
          <w:szCs w:val="22"/>
        </w:rPr>
        <w:t>address faculty recruitment, appointment</w:t>
      </w:r>
      <w:r w:rsidR="000B2F07" w:rsidRPr="00EB254A">
        <w:rPr>
          <w:rStyle w:val="normaltextrun"/>
          <w:rFonts w:asciiTheme="minorHAnsi" w:hAnsiTheme="minorHAnsi" w:cstheme="minorHAnsi"/>
          <w:sz w:val="22"/>
          <w:szCs w:val="22"/>
        </w:rPr>
        <w:t>,</w:t>
      </w:r>
      <w:r w:rsidR="00ED2845" w:rsidRPr="00EB254A">
        <w:rPr>
          <w:rStyle w:val="normaltextrun"/>
          <w:rFonts w:asciiTheme="minorHAnsi" w:hAnsiTheme="minorHAnsi" w:cstheme="minorHAnsi"/>
          <w:sz w:val="22"/>
          <w:szCs w:val="22"/>
        </w:rPr>
        <w:t xml:space="preserve"> retention</w:t>
      </w:r>
      <w:r w:rsidR="00A628C2" w:rsidRPr="00EB254A">
        <w:rPr>
          <w:rStyle w:val="normaltextrun"/>
          <w:rFonts w:asciiTheme="minorHAnsi" w:hAnsiTheme="minorHAnsi" w:cstheme="minorHAnsi"/>
          <w:sz w:val="22"/>
          <w:szCs w:val="22"/>
        </w:rPr>
        <w:t xml:space="preserve">, </w:t>
      </w:r>
      <w:r w:rsidR="00ED2845" w:rsidRPr="00EB254A">
        <w:rPr>
          <w:rStyle w:val="normaltextrun"/>
          <w:rFonts w:asciiTheme="minorHAnsi" w:hAnsiTheme="minorHAnsi" w:cstheme="minorHAnsi"/>
          <w:sz w:val="22"/>
          <w:szCs w:val="22"/>
        </w:rPr>
        <w:t>mentoring</w:t>
      </w:r>
      <w:r w:rsidR="00C448F3" w:rsidRPr="00EB254A">
        <w:rPr>
          <w:rStyle w:val="normaltextrun"/>
          <w:rFonts w:asciiTheme="minorHAnsi" w:hAnsiTheme="minorHAnsi" w:cstheme="minorHAnsi"/>
          <w:sz w:val="22"/>
          <w:szCs w:val="22"/>
        </w:rPr>
        <w:t xml:space="preserve">, </w:t>
      </w:r>
      <w:r w:rsidR="00C95D21" w:rsidRPr="00EB254A">
        <w:rPr>
          <w:rStyle w:val="normaltextrun"/>
          <w:rFonts w:asciiTheme="minorHAnsi" w:hAnsiTheme="minorHAnsi" w:cstheme="minorHAnsi"/>
          <w:sz w:val="22"/>
          <w:szCs w:val="22"/>
        </w:rPr>
        <w:t xml:space="preserve">renewal, </w:t>
      </w:r>
      <w:r w:rsidR="00A85E2E" w:rsidRPr="00EB254A">
        <w:rPr>
          <w:rStyle w:val="normaltextrun"/>
          <w:rFonts w:asciiTheme="minorHAnsi" w:hAnsiTheme="minorHAnsi" w:cstheme="minorHAnsi"/>
          <w:sz w:val="22"/>
          <w:szCs w:val="22"/>
        </w:rPr>
        <w:t>promotion</w:t>
      </w:r>
      <w:r w:rsidR="00E952D0" w:rsidRPr="00EB254A">
        <w:rPr>
          <w:rStyle w:val="normaltextrun"/>
          <w:rFonts w:asciiTheme="minorHAnsi" w:hAnsiTheme="minorHAnsi" w:cstheme="minorHAnsi"/>
          <w:sz w:val="22"/>
          <w:szCs w:val="22"/>
        </w:rPr>
        <w:t>,</w:t>
      </w:r>
      <w:r w:rsidR="00193CBB" w:rsidRPr="00EB254A">
        <w:rPr>
          <w:rStyle w:val="normaltextrun"/>
          <w:rFonts w:asciiTheme="minorHAnsi" w:hAnsiTheme="minorHAnsi" w:cstheme="minorHAnsi"/>
          <w:sz w:val="22"/>
          <w:szCs w:val="22"/>
        </w:rPr>
        <w:t xml:space="preserve"> </w:t>
      </w:r>
      <w:r w:rsidR="00A85E2E" w:rsidRPr="00EB254A">
        <w:rPr>
          <w:rStyle w:val="normaltextrun"/>
          <w:rFonts w:asciiTheme="minorHAnsi" w:hAnsiTheme="minorHAnsi" w:cstheme="minorHAnsi"/>
          <w:sz w:val="22"/>
          <w:szCs w:val="22"/>
        </w:rPr>
        <w:t>tenure</w:t>
      </w:r>
      <w:r w:rsidR="00193CBB" w:rsidRPr="00EB254A">
        <w:rPr>
          <w:rStyle w:val="normaltextrun"/>
          <w:rFonts w:asciiTheme="minorHAnsi" w:hAnsiTheme="minorHAnsi" w:cstheme="minorHAnsi"/>
          <w:sz w:val="22"/>
          <w:szCs w:val="22"/>
        </w:rPr>
        <w:t>, and</w:t>
      </w:r>
      <w:r w:rsidR="00ED2845" w:rsidRPr="00EB254A">
        <w:rPr>
          <w:rStyle w:val="normaltextrun"/>
          <w:rFonts w:asciiTheme="minorHAnsi" w:hAnsiTheme="minorHAnsi" w:cstheme="minorHAnsi"/>
          <w:sz w:val="22"/>
          <w:szCs w:val="22"/>
        </w:rPr>
        <w:t xml:space="preserve"> </w:t>
      </w:r>
      <w:r w:rsidR="00193CBB" w:rsidRPr="00EB254A">
        <w:rPr>
          <w:rStyle w:val="normaltextrun"/>
          <w:rFonts w:asciiTheme="minorHAnsi" w:hAnsiTheme="minorHAnsi" w:cstheme="minorHAnsi"/>
          <w:sz w:val="22"/>
          <w:szCs w:val="22"/>
        </w:rPr>
        <w:t xml:space="preserve">professional assessment </w:t>
      </w:r>
      <w:r w:rsidR="00E67DA5" w:rsidRPr="00EB254A">
        <w:rPr>
          <w:rStyle w:val="normaltextrun"/>
          <w:rFonts w:asciiTheme="minorHAnsi" w:hAnsiTheme="minorHAnsi" w:cstheme="minorHAnsi"/>
          <w:sz w:val="22"/>
          <w:szCs w:val="22"/>
        </w:rPr>
        <w:t>Departmental</w:t>
      </w:r>
      <w:r w:rsidR="00ED2845" w:rsidRPr="00EB254A">
        <w:rPr>
          <w:rStyle w:val="normaltextrun"/>
          <w:rFonts w:asciiTheme="minorHAnsi" w:hAnsiTheme="minorHAnsi" w:cstheme="minorHAnsi"/>
          <w:sz w:val="22"/>
          <w:szCs w:val="22"/>
        </w:rPr>
        <w:t xml:space="preserve"> documents are approved by the academic dean, the Provost, the AAUP and</w:t>
      </w:r>
      <w:r w:rsidR="00E67DA5" w:rsidRPr="00EB254A">
        <w:rPr>
          <w:rStyle w:val="normaltextrun"/>
          <w:rFonts w:asciiTheme="minorHAnsi" w:hAnsiTheme="minorHAnsi" w:cstheme="minorHAnsi"/>
          <w:sz w:val="22"/>
          <w:szCs w:val="22"/>
        </w:rPr>
        <w:t xml:space="preserve"> are</w:t>
      </w:r>
      <w:r w:rsidR="00F24648" w:rsidRPr="00EB254A">
        <w:rPr>
          <w:rStyle w:val="normaltextrun"/>
          <w:rFonts w:asciiTheme="minorHAnsi" w:hAnsiTheme="minorHAnsi" w:cstheme="minorHAnsi"/>
          <w:sz w:val="22"/>
          <w:szCs w:val="22"/>
        </w:rPr>
        <w:t xml:space="preserve"> filed with the </w:t>
      </w:r>
      <w:hyperlink r:id="rId14" w:history="1">
        <w:r w:rsidR="00F24648" w:rsidRPr="00EB254A">
          <w:rPr>
            <w:rStyle w:val="Hyperlink"/>
            <w:rFonts w:asciiTheme="minorHAnsi" w:hAnsiTheme="minorHAnsi" w:cstheme="minorHAnsi"/>
            <w:sz w:val="22"/>
            <w:szCs w:val="22"/>
          </w:rPr>
          <w:t>Faculty Senate</w:t>
        </w:r>
      </w:hyperlink>
      <w:r w:rsidR="009D0C04" w:rsidRPr="00EB254A">
        <w:rPr>
          <w:rStyle w:val="normaltextrun"/>
          <w:rFonts w:asciiTheme="minorHAnsi" w:hAnsiTheme="minorHAnsi" w:cstheme="minorHAnsi"/>
          <w:sz w:val="22"/>
          <w:szCs w:val="22"/>
        </w:rPr>
        <w:t xml:space="preserve"> (Senate)</w:t>
      </w:r>
      <w:r w:rsidR="00F24648" w:rsidRPr="00EB254A">
        <w:rPr>
          <w:rStyle w:val="normaltextrun"/>
          <w:rFonts w:asciiTheme="minorHAnsi" w:hAnsiTheme="minorHAnsi" w:cstheme="minorHAnsi"/>
          <w:sz w:val="22"/>
          <w:szCs w:val="22"/>
        </w:rPr>
        <w:t>.</w:t>
      </w:r>
      <w:r w:rsidR="0051498C" w:rsidRPr="00EB254A">
        <w:rPr>
          <w:rStyle w:val="normaltextrun"/>
          <w:rFonts w:asciiTheme="minorHAnsi" w:hAnsiTheme="minorHAnsi" w:cstheme="minorHAnsi"/>
          <w:sz w:val="22"/>
          <w:szCs w:val="22"/>
        </w:rPr>
        <w:t xml:space="preserve"> </w:t>
      </w:r>
      <w:r w:rsidR="008F7EAB" w:rsidRPr="00EB254A">
        <w:rPr>
          <w:rStyle w:val="normaltextrun"/>
          <w:rFonts w:asciiTheme="minorHAnsi" w:hAnsiTheme="minorHAnsi" w:cstheme="minorHAnsi"/>
          <w:sz w:val="22"/>
          <w:szCs w:val="22"/>
        </w:rPr>
        <w:t>The CBA provides guidance for teaching loads</w:t>
      </w:r>
      <w:r w:rsidR="006C3B06" w:rsidRPr="00EB254A">
        <w:rPr>
          <w:rStyle w:val="normaltextrun"/>
          <w:rFonts w:asciiTheme="minorHAnsi" w:hAnsiTheme="minorHAnsi" w:cstheme="minorHAnsi"/>
          <w:sz w:val="22"/>
          <w:szCs w:val="22"/>
        </w:rPr>
        <w:t>, other responsibilities, and grievance procedures</w:t>
      </w:r>
      <w:r w:rsidRPr="00EB254A">
        <w:rPr>
          <w:rStyle w:val="normaltextrun"/>
          <w:rFonts w:asciiTheme="minorHAnsi" w:hAnsiTheme="minorHAnsi" w:cstheme="minorHAnsi"/>
          <w:sz w:val="22"/>
          <w:szCs w:val="22"/>
        </w:rPr>
        <w:t xml:space="preserve"> to </w:t>
      </w:r>
      <w:r w:rsidR="00622107" w:rsidRPr="00EB254A">
        <w:rPr>
          <w:rStyle w:val="normaltextrun"/>
          <w:rFonts w:asciiTheme="minorHAnsi" w:hAnsiTheme="minorHAnsi" w:cstheme="minorHAnsi"/>
          <w:sz w:val="22"/>
          <w:szCs w:val="22"/>
        </w:rPr>
        <w:t>collectively ensure work is aligned with the University needs and Mission.</w:t>
      </w:r>
    </w:p>
    <w:p w14:paraId="6E679689" w14:textId="0146594C" w:rsidR="00C42909" w:rsidRPr="00EB254A" w:rsidRDefault="00691ACA" w:rsidP="00C42909">
      <w:pPr>
        <w:pStyle w:val="paragraph"/>
        <w:spacing w:before="0" w:beforeAutospacing="0" w:after="0" w:afterAutospacing="0"/>
        <w:textAlignment w:val="baseline"/>
        <w:rPr>
          <w:rStyle w:val="eop"/>
          <w:rFonts w:asciiTheme="minorHAnsi" w:hAnsiTheme="minorHAnsi" w:cstheme="minorHAnsi"/>
          <w:color w:val="0A0A0A"/>
          <w:sz w:val="22"/>
          <w:szCs w:val="22"/>
        </w:rPr>
      </w:pPr>
      <w:r w:rsidRPr="00EB254A">
        <w:rPr>
          <w:rStyle w:val="normaltextrun"/>
          <w:rFonts w:asciiTheme="minorHAnsi" w:hAnsiTheme="minorHAnsi" w:cstheme="minorHAnsi"/>
          <w:color w:val="0A0A0A"/>
          <w:sz w:val="22"/>
          <w:szCs w:val="22"/>
        </w:rPr>
        <w:t xml:space="preserve">6.9) </w:t>
      </w:r>
      <w:r w:rsidR="00D65F7D" w:rsidRPr="00EB254A">
        <w:rPr>
          <w:rStyle w:val="normaltextrun"/>
          <w:rFonts w:asciiTheme="minorHAnsi" w:hAnsiTheme="minorHAnsi" w:cstheme="minorHAnsi"/>
          <w:color w:val="0A0A0A"/>
          <w:sz w:val="22"/>
          <w:szCs w:val="22"/>
        </w:rPr>
        <w:t xml:space="preserve">Article 4.1.1.1 of the CBA contains a Statement of Professional Ethics outlining the obligations of faculty to act responsibly and ethically. The processes related to observing the conditions of employment and functioning in a manner consistent with the mission and purposes of the university are outlined in the </w:t>
      </w:r>
      <w:r w:rsidR="00610204" w:rsidRPr="00EB254A">
        <w:rPr>
          <w:rStyle w:val="normaltextrun"/>
          <w:rFonts w:asciiTheme="minorHAnsi" w:hAnsiTheme="minorHAnsi" w:cstheme="minorHAnsi"/>
          <w:color w:val="0A0A0A"/>
          <w:sz w:val="22"/>
          <w:szCs w:val="22"/>
        </w:rPr>
        <w:t xml:space="preserve">Faculty </w:t>
      </w:r>
      <w:r w:rsidR="00D65F7D" w:rsidRPr="00EB254A">
        <w:rPr>
          <w:rStyle w:val="normaltextrun"/>
          <w:rFonts w:asciiTheme="minorHAnsi" w:hAnsiTheme="minorHAnsi" w:cstheme="minorHAnsi"/>
          <w:color w:val="0A0A0A"/>
          <w:sz w:val="22"/>
          <w:szCs w:val="22"/>
        </w:rPr>
        <w:t>evaluation portions of the CBA, Articles 4.11 and Articles 6-8</w:t>
      </w:r>
      <w:r w:rsidR="00A05F70" w:rsidRPr="00EB254A">
        <w:rPr>
          <w:rStyle w:val="normaltextrun"/>
          <w:rFonts w:asciiTheme="minorHAnsi" w:hAnsiTheme="minorHAnsi" w:cstheme="minorHAnsi"/>
          <w:color w:val="0A0A0A"/>
          <w:sz w:val="22"/>
          <w:szCs w:val="22"/>
        </w:rPr>
        <w:t>,</w:t>
      </w:r>
      <w:r w:rsidR="00D65F7D" w:rsidRPr="00EB254A">
        <w:rPr>
          <w:rStyle w:val="normaltextrun"/>
          <w:rFonts w:asciiTheme="minorHAnsi" w:hAnsiTheme="minorHAnsi" w:cstheme="minorHAnsi"/>
          <w:color w:val="0A0A0A"/>
          <w:sz w:val="22"/>
          <w:szCs w:val="22"/>
        </w:rPr>
        <w:t xml:space="preserve"> </w:t>
      </w:r>
      <w:r w:rsidR="004863E0" w:rsidRPr="00EB254A">
        <w:rPr>
          <w:rStyle w:val="normaltextrun"/>
          <w:rFonts w:asciiTheme="minorHAnsi" w:hAnsiTheme="minorHAnsi" w:cstheme="minorHAnsi"/>
          <w:color w:val="0A0A0A"/>
          <w:sz w:val="22"/>
          <w:szCs w:val="22"/>
        </w:rPr>
        <w:t xml:space="preserve">and employment related policies are posted on the </w:t>
      </w:r>
      <w:hyperlink r:id="rId15" w:history="1">
        <w:r w:rsidR="004863E0" w:rsidRPr="00EB254A">
          <w:rPr>
            <w:rStyle w:val="Hyperlink"/>
            <w:rFonts w:asciiTheme="minorHAnsi" w:hAnsiTheme="minorHAnsi" w:cstheme="minorHAnsi"/>
            <w:sz w:val="22"/>
            <w:szCs w:val="22"/>
          </w:rPr>
          <w:t>HR website</w:t>
        </w:r>
      </w:hyperlink>
      <w:r w:rsidR="00D65F7D" w:rsidRPr="00EB254A">
        <w:rPr>
          <w:rStyle w:val="normaltextrun"/>
          <w:rFonts w:asciiTheme="minorHAnsi" w:hAnsiTheme="minorHAnsi" w:cstheme="minorHAnsi"/>
          <w:color w:val="0A0A0A"/>
          <w:sz w:val="22"/>
          <w:szCs w:val="22"/>
        </w:rPr>
        <w:t>.</w:t>
      </w:r>
      <w:r w:rsidR="00D65F7D" w:rsidRPr="00EB254A">
        <w:rPr>
          <w:rStyle w:val="eop"/>
          <w:rFonts w:asciiTheme="minorHAnsi" w:hAnsiTheme="minorHAnsi" w:cstheme="minorHAnsi"/>
          <w:color w:val="0A0A0A"/>
          <w:sz w:val="22"/>
          <w:szCs w:val="22"/>
        </w:rPr>
        <w:t> </w:t>
      </w:r>
      <w:r w:rsidR="00132E96" w:rsidRPr="00EB254A">
        <w:rPr>
          <w:rStyle w:val="eop"/>
          <w:rFonts w:asciiTheme="minorHAnsi" w:hAnsiTheme="minorHAnsi" w:cstheme="minorHAnsi"/>
          <w:color w:val="0A0A0A"/>
          <w:sz w:val="22"/>
          <w:szCs w:val="22"/>
        </w:rPr>
        <w:t xml:space="preserve">In addition, </w:t>
      </w:r>
      <w:r w:rsidR="00DC4D13" w:rsidRPr="00EB254A">
        <w:rPr>
          <w:rStyle w:val="eop"/>
          <w:rFonts w:asciiTheme="minorHAnsi" w:hAnsiTheme="minorHAnsi" w:cstheme="minorHAnsi"/>
          <w:color w:val="0A0A0A"/>
          <w:sz w:val="22"/>
          <w:szCs w:val="22"/>
        </w:rPr>
        <w:t>all</w:t>
      </w:r>
      <w:r w:rsidR="00C42909" w:rsidRPr="00EB254A">
        <w:rPr>
          <w:rStyle w:val="eop"/>
          <w:rFonts w:asciiTheme="minorHAnsi" w:hAnsiTheme="minorHAnsi" w:cstheme="minorHAnsi"/>
          <w:color w:val="0A0A0A"/>
          <w:sz w:val="22"/>
          <w:szCs w:val="22"/>
        </w:rPr>
        <w:t xml:space="preserve"> </w:t>
      </w:r>
      <w:r w:rsidR="00DC4D13" w:rsidRPr="00EB254A">
        <w:rPr>
          <w:rStyle w:val="eop"/>
          <w:rFonts w:asciiTheme="minorHAnsi" w:hAnsiTheme="minorHAnsi" w:cstheme="minorHAnsi"/>
          <w:color w:val="0A0A0A"/>
          <w:sz w:val="22"/>
          <w:szCs w:val="22"/>
        </w:rPr>
        <w:t xml:space="preserve">employees are expected to </w:t>
      </w:r>
      <w:r w:rsidR="00C42909" w:rsidRPr="00EB254A">
        <w:rPr>
          <w:rStyle w:val="eop"/>
          <w:rFonts w:asciiTheme="minorHAnsi" w:hAnsiTheme="minorHAnsi" w:cstheme="minorHAnsi"/>
          <w:color w:val="0A0A0A"/>
          <w:sz w:val="22"/>
          <w:szCs w:val="22"/>
        </w:rPr>
        <w:t xml:space="preserve">complete Ethics 101, </w:t>
      </w:r>
      <w:r w:rsidR="00023FF5" w:rsidRPr="00EB254A">
        <w:rPr>
          <w:rStyle w:val="eop"/>
          <w:rFonts w:asciiTheme="minorHAnsi" w:hAnsiTheme="minorHAnsi" w:cstheme="minorHAnsi"/>
          <w:color w:val="0A0A0A"/>
          <w:sz w:val="22"/>
          <w:szCs w:val="22"/>
        </w:rPr>
        <w:t>annual</w:t>
      </w:r>
      <w:r w:rsidR="002676E3" w:rsidRPr="00EB254A">
        <w:rPr>
          <w:rStyle w:val="eop"/>
          <w:rFonts w:asciiTheme="minorHAnsi" w:hAnsiTheme="minorHAnsi" w:cstheme="minorHAnsi"/>
          <w:color w:val="0A0A0A"/>
          <w:sz w:val="22"/>
          <w:szCs w:val="22"/>
        </w:rPr>
        <w:t xml:space="preserve"> training required by the State of Connecticut.</w:t>
      </w:r>
      <w:r w:rsidR="00B3423E" w:rsidRPr="00EB254A">
        <w:rPr>
          <w:rStyle w:val="eop"/>
          <w:rFonts w:asciiTheme="minorHAnsi" w:hAnsiTheme="minorHAnsi" w:cstheme="minorHAnsi"/>
          <w:color w:val="0A0A0A"/>
          <w:sz w:val="22"/>
          <w:szCs w:val="22"/>
        </w:rPr>
        <w:t xml:space="preserve"> </w:t>
      </w:r>
    </w:p>
    <w:p w14:paraId="79B25ECB" w14:textId="77777777" w:rsidR="00A845F0" w:rsidRPr="00B029B0" w:rsidRDefault="00A845F0" w:rsidP="00C42909">
      <w:pPr>
        <w:pStyle w:val="paragraph"/>
        <w:spacing w:before="0" w:beforeAutospacing="0" w:after="0" w:afterAutospacing="0"/>
        <w:textAlignment w:val="baseline"/>
        <w:rPr>
          <w:rFonts w:asciiTheme="minorHAnsi" w:hAnsiTheme="minorHAnsi" w:cstheme="minorHAnsi"/>
          <w:sz w:val="22"/>
          <w:szCs w:val="22"/>
        </w:rPr>
      </w:pPr>
    </w:p>
    <w:p w14:paraId="150F7A4D" w14:textId="3028D630" w:rsidR="00D65F7D" w:rsidRDefault="00691ACA" w:rsidP="006372FD">
      <w:pPr>
        <w:pStyle w:val="paragraph"/>
        <w:spacing w:before="0" w:beforeAutospacing="0" w:after="0" w:afterAutospacing="0"/>
        <w:textAlignment w:val="baseline"/>
        <w:rPr>
          <w:rStyle w:val="eop"/>
          <w:rFonts w:asciiTheme="minorHAnsi" w:hAnsiTheme="minorHAnsi" w:cstheme="minorHAnsi"/>
          <w:color w:val="0A0A0A"/>
          <w:sz w:val="22"/>
          <w:szCs w:val="22"/>
        </w:rPr>
      </w:pPr>
      <w:r>
        <w:rPr>
          <w:rStyle w:val="eop"/>
          <w:rFonts w:asciiTheme="minorHAnsi" w:hAnsiTheme="minorHAnsi" w:cstheme="minorHAnsi"/>
          <w:sz w:val="22"/>
          <w:szCs w:val="22"/>
        </w:rPr>
        <w:t xml:space="preserve">6.10) </w:t>
      </w:r>
      <w:r w:rsidR="00D65F7D" w:rsidRPr="00B029B0">
        <w:rPr>
          <w:rStyle w:val="normaltextrun"/>
          <w:rFonts w:asciiTheme="minorHAnsi" w:hAnsiTheme="minorHAnsi" w:cstheme="minorHAnsi"/>
          <w:color w:val="0A0A0A"/>
          <w:sz w:val="22"/>
          <w:szCs w:val="22"/>
        </w:rPr>
        <w:t>The evaluation process</w:t>
      </w:r>
      <w:r w:rsidR="007833F0">
        <w:rPr>
          <w:rStyle w:val="normaltextrun"/>
          <w:rFonts w:asciiTheme="minorHAnsi" w:hAnsiTheme="minorHAnsi" w:cstheme="minorHAnsi"/>
          <w:color w:val="0A0A0A"/>
          <w:sz w:val="22"/>
          <w:szCs w:val="22"/>
        </w:rPr>
        <w:t xml:space="preserve"> </w:t>
      </w:r>
      <w:r w:rsidR="00C94220">
        <w:rPr>
          <w:rStyle w:val="normaltextrun"/>
          <w:rFonts w:asciiTheme="minorHAnsi" w:hAnsiTheme="minorHAnsi" w:cstheme="minorHAnsi"/>
          <w:color w:val="0A0A0A"/>
          <w:sz w:val="22"/>
          <w:szCs w:val="22"/>
        </w:rPr>
        <w:t xml:space="preserve">for </w:t>
      </w:r>
      <w:r w:rsidR="007833F0">
        <w:rPr>
          <w:rStyle w:val="normaltextrun"/>
          <w:rFonts w:asciiTheme="minorHAnsi" w:hAnsiTheme="minorHAnsi" w:cstheme="minorHAnsi"/>
          <w:color w:val="0A0A0A"/>
          <w:sz w:val="22"/>
          <w:szCs w:val="22"/>
        </w:rPr>
        <w:t>renewal, tenure, promotion, and post-tenure professional assessment (CBA 4.11)</w:t>
      </w:r>
      <w:r w:rsidR="00D65F7D" w:rsidRPr="00B029B0">
        <w:rPr>
          <w:rStyle w:val="normaltextrun"/>
          <w:rFonts w:asciiTheme="minorHAnsi" w:hAnsiTheme="minorHAnsi" w:cstheme="minorHAnsi"/>
          <w:color w:val="0A0A0A"/>
          <w:sz w:val="22"/>
          <w:szCs w:val="22"/>
        </w:rPr>
        <w:t xml:space="preserve"> ensures that each member of the </w:t>
      </w:r>
      <w:r w:rsidR="00610204">
        <w:rPr>
          <w:rStyle w:val="normaltextrun"/>
          <w:rFonts w:asciiTheme="minorHAnsi" w:hAnsiTheme="minorHAnsi" w:cstheme="minorHAnsi"/>
          <w:color w:val="0A0A0A"/>
          <w:sz w:val="22"/>
          <w:szCs w:val="22"/>
        </w:rPr>
        <w:t>F</w:t>
      </w:r>
      <w:r w:rsidR="00D65F7D" w:rsidRPr="00B029B0">
        <w:rPr>
          <w:rStyle w:val="normaltextrun"/>
          <w:rFonts w:asciiTheme="minorHAnsi" w:hAnsiTheme="minorHAnsi" w:cstheme="minorHAnsi"/>
          <w:color w:val="0A0A0A"/>
          <w:sz w:val="22"/>
          <w:szCs w:val="22"/>
        </w:rPr>
        <w:t>aculty is effective in the responsibilities for load credit (primarily teaching), creative activity, and service</w:t>
      </w:r>
      <w:r w:rsidR="007833F0">
        <w:rPr>
          <w:rStyle w:val="normaltextrun"/>
          <w:rFonts w:asciiTheme="minorHAnsi" w:hAnsiTheme="minorHAnsi" w:cstheme="minorHAnsi"/>
          <w:color w:val="0A0A0A"/>
          <w:sz w:val="22"/>
          <w:szCs w:val="22"/>
        </w:rPr>
        <w:t xml:space="preserve"> (ranked in order of importance).</w:t>
      </w:r>
      <w:r w:rsidR="00D65F7D" w:rsidRPr="00B029B0">
        <w:rPr>
          <w:rStyle w:val="normaltextrun"/>
          <w:rFonts w:asciiTheme="minorHAnsi" w:hAnsiTheme="minorHAnsi" w:cstheme="minorHAnsi"/>
          <w:color w:val="0A0A0A"/>
          <w:sz w:val="22"/>
          <w:szCs w:val="22"/>
        </w:rPr>
        <w:t xml:space="preserve"> Articles 6-8 outline the processes for </w:t>
      </w:r>
      <w:r w:rsidR="00BC0920" w:rsidRPr="00F86291">
        <w:rPr>
          <w:rStyle w:val="normaltextrun"/>
          <w:rFonts w:asciiTheme="minorHAnsi" w:hAnsiTheme="minorHAnsi" w:cstheme="minorHAnsi"/>
          <w:color w:val="212121"/>
          <w:sz w:val="22"/>
          <w:szCs w:val="22"/>
        </w:rPr>
        <w:t xml:space="preserve">librarians, </w:t>
      </w:r>
      <w:r w:rsidR="00BC0920">
        <w:rPr>
          <w:rStyle w:val="normaltextrun"/>
          <w:rFonts w:asciiTheme="minorHAnsi" w:hAnsiTheme="minorHAnsi" w:cstheme="minorHAnsi"/>
          <w:color w:val="212121"/>
          <w:sz w:val="22"/>
          <w:szCs w:val="22"/>
        </w:rPr>
        <w:t xml:space="preserve">counselors, athletic trainers, and </w:t>
      </w:r>
      <w:r w:rsidR="00BC0920" w:rsidRPr="00F86291">
        <w:rPr>
          <w:rStyle w:val="normaltextrun"/>
          <w:rFonts w:asciiTheme="minorHAnsi" w:hAnsiTheme="minorHAnsi" w:cstheme="minorHAnsi"/>
          <w:color w:val="212121"/>
          <w:sz w:val="22"/>
          <w:szCs w:val="22"/>
        </w:rPr>
        <w:t>coaches</w:t>
      </w:r>
      <w:r w:rsidR="00BC0920" w:rsidRPr="00B029B0">
        <w:rPr>
          <w:rStyle w:val="normaltextrun"/>
          <w:rFonts w:asciiTheme="minorHAnsi" w:hAnsiTheme="minorHAnsi" w:cstheme="minorHAnsi"/>
          <w:color w:val="0A0A0A"/>
          <w:sz w:val="22"/>
          <w:szCs w:val="22"/>
        </w:rPr>
        <w:t xml:space="preserve"> </w:t>
      </w:r>
      <w:r w:rsidR="00D65F7D" w:rsidRPr="00B029B0">
        <w:rPr>
          <w:rStyle w:val="normaltextrun"/>
          <w:rFonts w:asciiTheme="minorHAnsi" w:hAnsiTheme="minorHAnsi" w:cstheme="minorHAnsi"/>
          <w:color w:val="FF0000"/>
          <w:sz w:val="22"/>
          <w:szCs w:val="22"/>
        </w:rPr>
        <w:t>(6.10b)</w:t>
      </w:r>
      <w:r w:rsidR="00D65F7D" w:rsidRPr="00B029B0">
        <w:rPr>
          <w:rStyle w:val="normaltextrun"/>
          <w:rFonts w:asciiTheme="minorHAnsi" w:hAnsiTheme="minorHAnsi" w:cstheme="minorHAnsi"/>
          <w:color w:val="0A0A0A"/>
          <w:sz w:val="22"/>
          <w:szCs w:val="22"/>
        </w:rPr>
        <w:t>.  </w:t>
      </w:r>
      <w:r w:rsidR="007833F0">
        <w:rPr>
          <w:rStyle w:val="normaltextrun"/>
          <w:rFonts w:asciiTheme="minorHAnsi" w:hAnsiTheme="minorHAnsi" w:cstheme="minorHAnsi"/>
          <w:color w:val="0A0A0A"/>
          <w:sz w:val="22"/>
          <w:szCs w:val="22"/>
        </w:rPr>
        <w:t>A similar</w:t>
      </w:r>
      <w:r w:rsidR="003D0CC2">
        <w:rPr>
          <w:rStyle w:val="normaltextrun"/>
          <w:rFonts w:asciiTheme="minorHAnsi" w:hAnsiTheme="minorHAnsi" w:cstheme="minorHAnsi"/>
          <w:color w:val="0A0A0A"/>
          <w:sz w:val="22"/>
          <w:szCs w:val="22"/>
        </w:rPr>
        <w:t xml:space="preserve"> evaluation process for a</w:t>
      </w:r>
      <w:r w:rsidR="00610204">
        <w:rPr>
          <w:rStyle w:val="normaltextrun"/>
          <w:rFonts w:asciiTheme="minorHAnsi" w:hAnsiTheme="minorHAnsi" w:cstheme="minorHAnsi"/>
          <w:color w:val="0A0A0A"/>
          <w:sz w:val="22"/>
          <w:szCs w:val="22"/>
        </w:rPr>
        <w:t>dministrative faculty</w:t>
      </w:r>
      <w:r w:rsidR="003D0CC2">
        <w:rPr>
          <w:rStyle w:val="normaltextrun"/>
          <w:rFonts w:asciiTheme="minorHAnsi" w:hAnsiTheme="minorHAnsi" w:cstheme="minorHAnsi"/>
          <w:color w:val="0A0A0A"/>
          <w:sz w:val="22"/>
          <w:szCs w:val="22"/>
        </w:rPr>
        <w:t xml:space="preserve"> </w:t>
      </w:r>
      <w:r w:rsidR="009C40B8">
        <w:rPr>
          <w:rStyle w:val="eop"/>
          <w:rFonts w:asciiTheme="minorHAnsi" w:hAnsiTheme="minorHAnsi" w:cstheme="minorHAnsi"/>
          <w:color w:val="0A0A0A"/>
          <w:sz w:val="22"/>
          <w:szCs w:val="22"/>
        </w:rPr>
        <w:t xml:space="preserve">is </w:t>
      </w:r>
      <w:r w:rsidR="003D0CC2">
        <w:rPr>
          <w:rStyle w:val="eop"/>
          <w:rFonts w:asciiTheme="minorHAnsi" w:hAnsiTheme="minorHAnsi" w:cstheme="minorHAnsi"/>
          <w:color w:val="0A0A0A"/>
          <w:sz w:val="22"/>
          <w:szCs w:val="22"/>
        </w:rPr>
        <w:t xml:space="preserve">clearly outlined in the </w:t>
      </w:r>
      <w:hyperlink r:id="rId16" w:history="1">
        <w:r w:rsidR="003D0CC2" w:rsidRPr="00A33AFA">
          <w:rPr>
            <w:rStyle w:val="Hyperlink"/>
            <w:rFonts w:asciiTheme="minorHAnsi" w:hAnsiTheme="minorHAnsi" w:cstheme="minorHAnsi"/>
            <w:sz w:val="22"/>
            <w:szCs w:val="22"/>
          </w:rPr>
          <w:t>SUOAF contract</w:t>
        </w:r>
      </w:hyperlink>
      <w:r w:rsidR="003D0CC2">
        <w:rPr>
          <w:rStyle w:val="eop"/>
          <w:rFonts w:asciiTheme="minorHAnsi" w:hAnsiTheme="minorHAnsi" w:cstheme="minorHAnsi"/>
          <w:color w:val="0A0A0A"/>
          <w:sz w:val="22"/>
          <w:szCs w:val="22"/>
        </w:rPr>
        <w:t>, Article 19.</w:t>
      </w:r>
    </w:p>
    <w:p w14:paraId="502E2144" w14:textId="47A112E5" w:rsidR="008C4A3C" w:rsidRDefault="008C4A3C" w:rsidP="006372FD">
      <w:pPr>
        <w:pStyle w:val="paragraph"/>
        <w:spacing w:before="0" w:beforeAutospacing="0" w:after="0" w:afterAutospacing="0"/>
        <w:textAlignment w:val="baseline"/>
        <w:rPr>
          <w:rStyle w:val="eop"/>
          <w:rFonts w:asciiTheme="minorHAnsi" w:hAnsiTheme="minorHAnsi" w:cstheme="minorHAnsi"/>
          <w:color w:val="0A0A0A"/>
          <w:sz w:val="22"/>
          <w:szCs w:val="22"/>
        </w:rPr>
      </w:pPr>
    </w:p>
    <w:p w14:paraId="11BA090D" w14:textId="38919067" w:rsidR="003F1368" w:rsidRPr="00B029B0" w:rsidRDefault="009E26C8" w:rsidP="004B023B">
      <w:pPr>
        <w:rPr>
          <w:rFonts w:eastAsia="Calibri" w:cstheme="minorHAnsi"/>
          <w:color w:val="0A0A0A"/>
        </w:rPr>
      </w:pPr>
      <w:r>
        <w:rPr>
          <w:rStyle w:val="eop"/>
          <w:rFonts w:cstheme="minorHAnsi"/>
          <w:color w:val="0A0A0A"/>
        </w:rPr>
        <w:t xml:space="preserve">6.11) </w:t>
      </w:r>
      <w:r w:rsidR="00697A67" w:rsidRPr="00B029B0">
        <w:rPr>
          <w:rFonts w:eastAsia="Calibri" w:cstheme="minorHAnsi"/>
          <w:color w:val="0A0A0A"/>
        </w:rPr>
        <w:t xml:space="preserve">The scholarly expectations for </w:t>
      </w:r>
      <w:r w:rsidR="00A33AFA">
        <w:rPr>
          <w:rFonts w:eastAsia="Calibri" w:cstheme="minorHAnsi"/>
          <w:color w:val="0A0A0A"/>
        </w:rPr>
        <w:t>F</w:t>
      </w:r>
      <w:r w:rsidR="00A33AFA" w:rsidRPr="00B029B0">
        <w:rPr>
          <w:rFonts w:eastAsia="Calibri" w:cstheme="minorHAnsi"/>
          <w:color w:val="0A0A0A"/>
        </w:rPr>
        <w:t xml:space="preserve">aculty </w:t>
      </w:r>
      <w:r w:rsidR="00697A67" w:rsidRPr="00B029B0">
        <w:rPr>
          <w:rFonts w:eastAsia="Calibri" w:cstheme="minorHAnsi"/>
          <w:color w:val="0A0A0A"/>
        </w:rPr>
        <w:t xml:space="preserve">at each academic rank are defined for each academic </w:t>
      </w:r>
      <w:r w:rsidR="007B318D" w:rsidRPr="00B029B0">
        <w:rPr>
          <w:rFonts w:eastAsia="Calibri" w:cstheme="minorHAnsi"/>
          <w:color w:val="0A0A0A"/>
        </w:rPr>
        <w:t>department</w:t>
      </w:r>
      <w:r w:rsidR="00697A67" w:rsidRPr="00B029B0">
        <w:rPr>
          <w:rFonts w:eastAsia="Calibri" w:cstheme="minorHAnsi"/>
          <w:color w:val="0A0A0A"/>
        </w:rPr>
        <w:t xml:space="preserve"> on the </w:t>
      </w:r>
      <w:hyperlink r:id="rId17" w:history="1">
        <w:r w:rsidR="00697A67" w:rsidRPr="00B029B0">
          <w:rPr>
            <w:rStyle w:val="Hyperlink"/>
            <w:rFonts w:eastAsia="Calibri" w:cstheme="minorHAnsi"/>
          </w:rPr>
          <w:t>Faculty Senate website</w:t>
        </w:r>
      </w:hyperlink>
      <w:r w:rsidR="00CF5FA5" w:rsidRPr="00B029B0">
        <w:rPr>
          <w:rFonts w:eastAsia="Calibri" w:cstheme="minorHAnsi"/>
          <w:color w:val="0A0A0A"/>
        </w:rPr>
        <w:t>.</w:t>
      </w:r>
      <w:r w:rsidR="00697A67" w:rsidRPr="00B029B0">
        <w:rPr>
          <w:rFonts w:eastAsia="Calibri" w:cstheme="minorHAnsi"/>
          <w:color w:val="0A0A0A"/>
        </w:rPr>
        <w:t xml:space="preserve"> These guidelines have been approved by the department, </w:t>
      </w:r>
      <w:r w:rsidR="00A5357D" w:rsidRPr="00F86291">
        <w:rPr>
          <w:rStyle w:val="normaltextrun"/>
          <w:rFonts w:cstheme="minorHAnsi"/>
        </w:rPr>
        <w:t xml:space="preserve">academic dean, the Provost, the AAUP </w:t>
      </w:r>
      <w:r w:rsidR="00697A67" w:rsidRPr="00B029B0">
        <w:rPr>
          <w:rFonts w:eastAsia="Calibri" w:cstheme="minorHAnsi"/>
          <w:color w:val="0A0A0A"/>
        </w:rPr>
        <w:t xml:space="preserve">and are periodically updated as needed. The need for all </w:t>
      </w:r>
      <w:r w:rsidR="00A33AFA">
        <w:rPr>
          <w:rFonts w:eastAsia="Calibri" w:cstheme="minorHAnsi"/>
          <w:color w:val="0A0A0A"/>
        </w:rPr>
        <w:t>F</w:t>
      </w:r>
      <w:r w:rsidR="00A33AFA" w:rsidRPr="00B029B0">
        <w:rPr>
          <w:rFonts w:eastAsia="Calibri" w:cstheme="minorHAnsi"/>
          <w:color w:val="0A0A0A"/>
        </w:rPr>
        <w:t xml:space="preserve">aculty </w:t>
      </w:r>
      <w:r w:rsidR="00697A67" w:rsidRPr="00B029B0">
        <w:rPr>
          <w:rFonts w:eastAsia="Calibri" w:cstheme="minorHAnsi"/>
          <w:color w:val="0A0A0A"/>
        </w:rPr>
        <w:t>to remain current in their discipline</w:t>
      </w:r>
      <w:r w:rsidR="00532731">
        <w:rPr>
          <w:rFonts w:eastAsia="Calibri" w:cstheme="minorHAnsi"/>
          <w:color w:val="0A0A0A"/>
        </w:rPr>
        <w:t xml:space="preserve"> (</w:t>
      </w:r>
      <w:r w:rsidR="00532731" w:rsidRPr="00383593">
        <w:rPr>
          <w:rFonts w:eastAsia="Calibri" w:cstheme="minorHAnsi"/>
          <w:color w:val="FF0000"/>
        </w:rPr>
        <w:t>6.11</w:t>
      </w:r>
      <w:r w:rsidR="00532731">
        <w:rPr>
          <w:rFonts w:eastAsia="Calibri" w:cstheme="minorHAnsi"/>
          <w:color w:val="0A0A0A"/>
        </w:rPr>
        <w:t>)</w:t>
      </w:r>
      <w:r w:rsidR="00697A67" w:rsidRPr="00B029B0">
        <w:rPr>
          <w:rFonts w:eastAsia="Calibri" w:cstheme="minorHAnsi"/>
          <w:color w:val="0A0A0A"/>
        </w:rPr>
        <w:t xml:space="preserve"> is clearly spelled out in the CBA </w:t>
      </w:r>
      <w:r w:rsidR="00F63365">
        <w:rPr>
          <w:rFonts w:eastAsia="Calibri" w:cstheme="minorHAnsi"/>
          <w:color w:val="0A0A0A"/>
        </w:rPr>
        <w:t>(Article 4.11.9)</w:t>
      </w:r>
      <w:r w:rsidR="00D04725" w:rsidRPr="00B029B0">
        <w:rPr>
          <w:rFonts w:eastAsia="Calibri" w:cstheme="minorHAnsi"/>
          <w:color w:val="0A0A0A"/>
        </w:rPr>
        <w:t xml:space="preserve">, </w:t>
      </w:r>
      <w:r w:rsidR="009702CF">
        <w:rPr>
          <w:rFonts w:eastAsia="Calibri" w:cstheme="minorHAnsi"/>
          <w:color w:val="0A0A0A"/>
        </w:rPr>
        <w:t xml:space="preserve">and </w:t>
      </w:r>
      <w:r w:rsidR="00D04725" w:rsidRPr="00B029B0">
        <w:rPr>
          <w:rFonts w:eastAsia="Calibri" w:cstheme="minorHAnsi"/>
          <w:color w:val="0A0A0A"/>
        </w:rPr>
        <w:t>as reflected in the Departmental guidelines noted above.</w:t>
      </w:r>
      <w:r w:rsidR="00580401">
        <w:rPr>
          <w:rFonts w:eastAsia="Calibri" w:cstheme="minorHAnsi"/>
          <w:color w:val="0A0A0A"/>
        </w:rPr>
        <w:t xml:space="preserve"> As per the CBA,</w:t>
      </w:r>
      <w:r w:rsidR="00A77A7E">
        <w:rPr>
          <w:rFonts w:eastAsia="Calibri" w:cstheme="minorHAnsi"/>
          <w:color w:val="0A0A0A"/>
        </w:rPr>
        <w:t xml:space="preserve"> nearly $2.8M in funding </w:t>
      </w:r>
      <w:r w:rsidR="001C57B8">
        <w:rPr>
          <w:rFonts w:eastAsia="Calibri" w:cstheme="minorHAnsi"/>
          <w:color w:val="0A0A0A"/>
        </w:rPr>
        <w:t>for FY2023 wa</w:t>
      </w:r>
      <w:r w:rsidR="00A77A7E">
        <w:rPr>
          <w:rFonts w:eastAsia="Calibri" w:cstheme="minorHAnsi"/>
          <w:color w:val="0A0A0A"/>
        </w:rPr>
        <w:t>s</w:t>
      </w:r>
      <w:r w:rsidR="00580401">
        <w:rPr>
          <w:rFonts w:eastAsia="Calibri" w:cstheme="minorHAnsi"/>
          <w:color w:val="0A0A0A"/>
        </w:rPr>
        <w:t xml:space="preserve"> available to faculty</w:t>
      </w:r>
      <w:r w:rsidR="003B1D0A">
        <w:rPr>
          <w:rFonts w:eastAsia="Calibri" w:cstheme="minorHAnsi"/>
          <w:color w:val="0A0A0A"/>
        </w:rPr>
        <w:t xml:space="preserve"> for professional development</w:t>
      </w:r>
      <w:r w:rsidR="00C82DDA">
        <w:rPr>
          <w:rFonts w:eastAsia="Calibri" w:cstheme="minorHAnsi"/>
          <w:color w:val="0A0A0A"/>
        </w:rPr>
        <w:t xml:space="preserve">, research grants, curriculum-related </w:t>
      </w:r>
      <w:r w:rsidR="00C82DDA">
        <w:rPr>
          <w:rFonts w:eastAsia="Calibri" w:cstheme="minorHAnsi"/>
          <w:color w:val="0A0A0A"/>
        </w:rPr>
        <w:lastRenderedPageBreak/>
        <w:t>activities</w:t>
      </w:r>
      <w:r w:rsidR="00186C86">
        <w:rPr>
          <w:rFonts w:eastAsia="Calibri" w:cstheme="minorHAnsi"/>
          <w:color w:val="0A0A0A"/>
        </w:rPr>
        <w:t xml:space="preserve">, </w:t>
      </w:r>
      <w:r w:rsidR="00FE5948">
        <w:rPr>
          <w:rFonts w:eastAsia="Calibri" w:cstheme="minorHAnsi"/>
          <w:color w:val="0A0A0A"/>
        </w:rPr>
        <w:t xml:space="preserve">and </w:t>
      </w:r>
      <w:r w:rsidR="00186C86">
        <w:rPr>
          <w:rFonts w:eastAsia="Calibri" w:cstheme="minorHAnsi"/>
          <w:color w:val="0A0A0A"/>
        </w:rPr>
        <w:t>retraining</w:t>
      </w:r>
      <w:r w:rsidR="00A77A7E">
        <w:rPr>
          <w:rFonts w:eastAsia="Calibri" w:cstheme="minorHAnsi"/>
          <w:color w:val="0A0A0A"/>
        </w:rPr>
        <w:t xml:space="preserve"> (Article 12.10.1</w:t>
      </w:r>
      <w:r w:rsidR="00974B78">
        <w:rPr>
          <w:rFonts w:eastAsia="Calibri" w:cstheme="minorHAnsi"/>
          <w:color w:val="0A0A0A"/>
        </w:rPr>
        <w:t>)</w:t>
      </w:r>
      <w:r w:rsidR="00FE5948">
        <w:rPr>
          <w:rFonts w:eastAsia="Calibri" w:cstheme="minorHAnsi"/>
          <w:color w:val="0A0A0A"/>
        </w:rPr>
        <w:t xml:space="preserve">. Additionally, </w:t>
      </w:r>
      <w:r w:rsidR="00D22580">
        <w:rPr>
          <w:rFonts w:eastAsia="Calibri" w:cstheme="minorHAnsi"/>
          <w:color w:val="0A0A0A"/>
        </w:rPr>
        <w:t>tenured F</w:t>
      </w:r>
      <w:r w:rsidR="00A46A92">
        <w:rPr>
          <w:rFonts w:eastAsia="Calibri" w:cstheme="minorHAnsi"/>
          <w:color w:val="0A0A0A"/>
        </w:rPr>
        <w:t xml:space="preserve">aculty </w:t>
      </w:r>
      <w:r w:rsidR="007833F0">
        <w:rPr>
          <w:rFonts w:eastAsia="Calibri" w:cstheme="minorHAnsi"/>
          <w:color w:val="0A0A0A"/>
        </w:rPr>
        <w:t>are eligible to</w:t>
      </w:r>
      <w:r w:rsidR="00A46A92">
        <w:rPr>
          <w:rFonts w:eastAsia="Calibri" w:cstheme="minorHAnsi"/>
          <w:color w:val="0A0A0A"/>
        </w:rPr>
        <w:t xml:space="preserve"> apply to take sabbatical leave</w:t>
      </w:r>
      <w:r w:rsidR="00D22580">
        <w:rPr>
          <w:rFonts w:eastAsia="Calibri" w:cstheme="minorHAnsi"/>
          <w:color w:val="0A0A0A"/>
        </w:rPr>
        <w:t xml:space="preserve"> for educational purposes (Article 13.7</w:t>
      </w:r>
      <w:r w:rsidR="00D22580" w:rsidRPr="00383593">
        <w:rPr>
          <w:rFonts w:eastAsia="Calibri" w:cstheme="minorHAnsi"/>
          <w:color w:val="0A0A0A"/>
        </w:rPr>
        <w:t>)</w:t>
      </w:r>
      <w:r w:rsidR="00CF5FA5" w:rsidRPr="00B029B0">
        <w:rPr>
          <w:rFonts w:eastAsia="Calibri" w:cstheme="minorHAnsi"/>
          <w:color w:val="0A0A0A"/>
        </w:rPr>
        <w:t xml:space="preserve">. </w:t>
      </w:r>
    </w:p>
    <w:p w14:paraId="36326F5C" w14:textId="69AA9F97" w:rsidR="003F1368" w:rsidRPr="00B029B0" w:rsidRDefault="004B023B" w:rsidP="008157C6">
      <w:pPr>
        <w:rPr>
          <w:rFonts w:cstheme="minorHAnsi"/>
        </w:rPr>
      </w:pPr>
      <w:r>
        <w:rPr>
          <w:rFonts w:cstheme="minorHAnsi"/>
        </w:rPr>
        <w:t xml:space="preserve">6.12) </w:t>
      </w:r>
      <w:r w:rsidR="001A540B" w:rsidRPr="00B029B0">
        <w:rPr>
          <w:rFonts w:cstheme="minorHAnsi"/>
        </w:rPr>
        <w:t xml:space="preserve">The CBA </w:t>
      </w:r>
      <w:r w:rsidR="008157C6" w:rsidRPr="00B029B0">
        <w:rPr>
          <w:rFonts w:cstheme="minorHAnsi"/>
        </w:rPr>
        <w:t xml:space="preserve">(Article 4.2) </w:t>
      </w:r>
      <w:r w:rsidR="007833F0">
        <w:rPr>
          <w:rFonts w:cstheme="minorHAnsi"/>
        </w:rPr>
        <w:t xml:space="preserve">defines and </w:t>
      </w:r>
      <w:r w:rsidR="008157C6" w:rsidRPr="00B029B0">
        <w:rPr>
          <w:rFonts w:cstheme="minorHAnsi"/>
        </w:rPr>
        <w:t xml:space="preserve">guarantees academic freedom to all faculty, regardless of academic rank or status. </w:t>
      </w:r>
      <w:r w:rsidR="007833F0">
        <w:rPr>
          <w:rFonts w:cstheme="minorHAnsi"/>
        </w:rPr>
        <w:t xml:space="preserve">The </w:t>
      </w:r>
      <w:r w:rsidR="008157C6" w:rsidRPr="00B029B0">
        <w:rPr>
          <w:rFonts w:cstheme="minorHAnsi"/>
        </w:rPr>
        <w:t>Committee on Academic Freedom</w:t>
      </w:r>
      <w:r w:rsidR="00153C61">
        <w:rPr>
          <w:rFonts w:cstheme="minorHAnsi"/>
        </w:rPr>
        <w:t xml:space="preserve">, </w:t>
      </w:r>
      <w:r w:rsidR="008157C6" w:rsidRPr="00B029B0">
        <w:rPr>
          <w:rFonts w:cstheme="minorHAnsi"/>
        </w:rPr>
        <w:t>a standing committee of the Senate</w:t>
      </w:r>
      <w:r w:rsidR="00153C61">
        <w:rPr>
          <w:rFonts w:cstheme="minorHAnsi"/>
        </w:rPr>
        <w:t xml:space="preserve">, </w:t>
      </w:r>
      <w:r w:rsidR="008E0724">
        <w:rPr>
          <w:rFonts w:cstheme="minorHAnsi"/>
        </w:rPr>
        <w:t>provides advice and consu</w:t>
      </w:r>
      <w:r w:rsidR="00DF49F2">
        <w:rPr>
          <w:rFonts w:cstheme="minorHAnsi"/>
        </w:rPr>
        <w:t xml:space="preserve">ltation to faculty </w:t>
      </w:r>
      <w:r w:rsidR="00686BE2">
        <w:rPr>
          <w:rFonts w:cstheme="minorHAnsi"/>
        </w:rPr>
        <w:t xml:space="preserve">and </w:t>
      </w:r>
      <w:r w:rsidR="00DF49F2">
        <w:rPr>
          <w:rFonts w:cstheme="minorHAnsi"/>
        </w:rPr>
        <w:t xml:space="preserve">the </w:t>
      </w:r>
      <w:r w:rsidR="00686BE2">
        <w:rPr>
          <w:rFonts w:cstheme="minorHAnsi"/>
        </w:rPr>
        <w:t>administration</w:t>
      </w:r>
      <w:r w:rsidR="007833F0">
        <w:rPr>
          <w:rFonts w:cstheme="minorHAnsi"/>
        </w:rPr>
        <w:t xml:space="preserve"> for </w:t>
      </w:r>
      <w:r w:rsidR="007833F0" w:rsidRPr="00B029B0">
        <w:rPr>
          <w:rFonts w:cstheme="minorHAnsi"/>
        </w:rPr>
        <w:t xml:space="preserve">alleged violations of academic freedom. </w:t>
      </w:r>
    </w:p>
    <w:p w14:paraId="2AA4BFD1" w14:textId="6F982E63" w:rsidR="003C0670" w:rsidRDefault="008A147E" w:rsidP="00D6092B">
      <w:pPr>
        <w:rPr>
          <w:rFonts w:cstheme="minorHAnsi"/>
        </w:rPr>
      </w:pPr>
      <w:r>
        <w:rPr>
          <w:rFonts w:cstheme="minorHAnsi"/>
        </w:rPr>
        <w:t>6.13)</w:t>
      </w:r>
      <w:r w:rsidR="006128E3">
        <w:rPr>
          <w:rFonts w:cstheme="minorHAnsi"/>
        </w:rPr>
        <w:t xml:space="preserve"> </w:t>
      </w:r>
      <w:r w:rsidR="00AD14B2">
        <w:rPr>
          <w:rFonts w:cstheme="minorHAnsi"/>
        </w:rPr>
        <w:t>CCSU students are taug</w:t>
      </w:r>
      <w:r w:rsidR="00053A4C">
        <w:rPr>
          <w:rFonts w:cstheme="minorHAnsi"/>
        </w:rPr>
        <w:t>ht and supported by appropriately credential</w:t>
      </w:r>
      <w:r w:rsidR="006128E3">
        <w:rPr>
          <w:rFonts w:cstheme="minorHAnsi"/>
        </w:rPr>
        <w:t>ed</w:t>
      </w:r>
      <w:r w:rsidR="00053A4C">
        <w:rPr>
          <w:rFonts w:cstheme="minorHAnsi"/>
        </w:rPr>
        <w:t xml:space="preserve"> faculty and staff.</w:t>
      </w:r>
      <w:r>
        <w:rPr>
          <w:rFonts w:cstheme="minorHAnsi"/>
        </w:rPr>
        <w:t xml:space="preserve"> </w:t>
      </w:r>
      <w:r w:rsidR="000C6728">
        <w:rPr>
          <w:rFonts w:cstheme="minorHAnsi"/>
        </w:rPr>
        <w:t xml:space="preserve">Article 5.3 of the CBA stipulates the minimum credentials needed for </w:t>
      </w:r>
      <w:r w:rsidR="00672110">
        <w:rPr>
          <w:rFonts w:cstheme="minorHAnsi"/>
        </w:rPr>
        <w:t>instructors</w:t>
      </w:r>
      <w:r w:rsidR="009C6757">
        <w:rPr>
          <w:rFonts w:cstheme="minorHAnsi"/>
        </w:rPr>
        <w:t>, librarians, and counselors</w:t>
      </w:r>
      <w:r w:rsidR="000C423A">
        <w:rPr>
          <w:rFonts w:cstheme="minorHAnsi"/>
        </w:rPr>
        <w:t xml:space="preserve"> </w:t>
      </w:r>
      <w:r w:rsidR="00070A36">
        <w:rPr>
          <w:rFonts w:cstheme="minorHAnsi"/>
        </w:rPr>
        <w:t>are an</w:t>
      </w:r>
      <w:r w:rsidR="000C423A">
        <w:rPr>
          <w:rFonts w:cstheme="minorHAnsi"/>
        </w:rPr>
        <w:t xml:space="preserve"> </w:t>
      </w:r>
      <w:r w:rsidR="00002A60">
        <w:rPr>
          <w:rFonts w:cstheme="minorHAnsi"/>
        </w:rPr>
        <w:t>earned master’s degree in an appropriate field from an accredited in</w:t>
      </w:r>
      <w:r w:rsidR="007D58DD">
        <w:rPr>
          <w:rFonts w:cstheme="minorHAnsi"/>
        </w:rPr>
        <w:t>stitution</w:t>
      </w:r>
      <w:r w:rsidR="00070A36">
        <w:rPr>
          <w:rFonts w:cstheme="minorHAnsi"/>
        </w:rPr>
        <w:t xml:space="preserve">. </w:t>
      </w:r>
      <w:r w:rsidR="000A75D8">
        <w:rPr>
          <w:rFonts w:cstheme="minorHAnsi"/>
        </w:rPr>
        <w:t xml:space="preserve">Higher ranks, beginning </w:t>
      </w:r>
      <w:r w:rsidR="00F0260C">
        <w:rPr>
          <w:rFonts w:cstheme="minorHAnsi"/>
        </w:rPr>
        <w:t>at the</w:t>
      </w:r>
      <w:r w:rsidR="000A75D8">
        <w:rPr>
          <w:rFonts w:cstheme="minorHAnsi"/>
        </w:rPr>
        <w:t xml:space="preserve"> assistant</w:t>
      </w:r>
      <w:r w:rsidR="002F22D5">
        <w:rPr>
          <w:rFonts w:cstheme="minorHAnsi"/>
        </w:rPr>
        <w:t xml:space="preserve"> </w:t>
      </w:r>
      <w:r w:rsidR="000A75D8">
        <w:rPr>
          <w:rFonts w:cstheme="minorHAnsi"/>
        </w:rPr>
        <w:t>professor</w:t>
      </w:r>
      <w:r w:rsidR="002923F1">
        <w:rPr>
          <w:rFonts w:cstheme="minorHAnsi"/>
        </w:rPr>
        <w:t xml:space="preserve"> level</w:t>
      </w:r>
      <w:r w:rsidR="000A75D8">
        <w:rPr>
          <w:rFonts w:cstheme="minorHAnsi"/>
        </w:rPr>
        <w:t xml:space="preserve">, librarian, </w:t>
      </w:r>
      <w:r w:rsidR="00F0260C">
        <w:rPr>
          <w:rFonts w:cstheme="minorHAnsi"/>
        </w:rPr>
        <w:t>or</w:t>
      </w:r>
      <w:r w:rsidR="000A75D8">
        <w:rPr>
          <w:rFonts w:cstheme="minorHAnsi"/>
        </w:rPr>
        <w:t xml:space="preserve"> counselor </w:t>
      </w:r>
      <w:r w:rsidR="00CF7942">
        <w:rPr>
          <w:rFonts w:cstheme="minorHAnsi"/>
        </w:rPr>
        <w:t xml:space="preserve">must have </w:t>
      </w:r>
      <w:r w:rsidR="005E11BA">
        <w:rPr>
          <w:rFonts w:cstheme="minorHAnsi"/>
        </w:rPr>
        <w:t xml:space="preserve">an </w:t>
      </w:r>
      <w:r w:rsidR="000C5703">
        <w:rPr>
          <w:rFonts w:cstheme="minorHAnsi"/>
        </w:rPr>
        <w:t>earned doctorate</w:t>
      </w:r>
      <w:r w:rsidR="0011509C">
        <w:rPr>
          <w:rFonts w:cstheme="minorHAnsi"/>
        </w:rPr>
        <w:t xml:space="preserve"> or</w:t>
      </w:r>
      <w:r w:rsidR="00EA306E">
        <w:rPr>
          <w:rFonts w:cstheme="minorHAnsi"/>
        </w:rPr>
        <w:t xml:space="preserve"> a</w:t>
      </w:r>
      <w:r w:rsidR="005E11BA">
        <w:rPr>
          <w:rFonts w:cstheme="minorHAnsi"/>
        </w:rPr>
        <w:t xml:space="preserve"> </w:t>
      </w:r>
      <w:r w:rsidR="000C5703">
        <w:rPr>
          <w:rFonts w:cstheme="minorHAnsi"/>
        </w:rPr>
        <w:t xml:space="preserve">terminal degree in an appropriate </w:t>
      </w:r>
      <w:r w:rsidR="003D5BB7">
        <w:rPr>
          <w:rFonts w:cstheme="minorHAnsi"/>
        </w:rPr>
        <w:t>discipline</w:t>
      </w:r>
      <w:r w:rsidR="005948E5">
        <w:rPr>
          <w:rFonts w:cstheme="minorHAnsi"/>
        </w:rPr>
        <w:t xml:space="preserve"> or meet minim</w:t>
      </w:r>
      <w:r w:rsidR="00E33A47">
        <w:rPr>
          <w:rFonts w:cstheme="minorHAnsi"/>
        </w:rPr>
        <w:t>um educational</w:t>
      </w:r>
      <w:r w:rsidR="00C16FFC">
        <w:rPr>
          <w:rFonts w:cstheme="minorHAnsi"/>
        </w:rPr>
        <w:t>, licensure,</w:t>
      </w:r>
      <w:r w:rsidR="00E33A47">
        <w:rPr>
          <w:rFonts w:cstheme="minorHAnsi"/>
        </w:rPr>
        <w:t xml:space="preserve"> and experience levels.</w:t>
      </w:r>
      <w:r w:rsidR="00A76DED">
        <w:rPr>
          <w:rFonts w:cstheme="minorHAnsi"/>
        </w:rPr>
        <w:t xml:space="preserve"> </w:t>
      </w:r>
      <w:r w:rsidR="00F50FB3">
        <w:rPr>
          <w:rFonts w:cstheme="minorHAnsi"/>
        </w:rPr>
        <w:t xml:space="preserve">Content support </w:t>
      </w:r>
      <w:r w:rsidR="0033689E">
        <w:rPr>
          <w:rFonts w:cstheme="minorHAnsi"/>
        </w:rPr>
        <w:t>offered</w:t>
      </w:r>
      <w:r w:rsidR="00B43EDB">
        <w:rPr>
          <w:rFonts w:cstheme="minorHAnsi"/>
        </w:rPr>
        <w:t xml:space="preserve"> by</w:t>
      </w:r>
      <w:r w:rsidR="003C0670">
        <w:rPr>
          <w:rFonts w:cstheme="minorHAnsi"/>
        </w:rPr>
        <w:t xml:space="preserve"> the Learning Center</w:t>
      </w:r>
      <w:r w:rsidR="00FE1C63">
        <w:rPr>
          <w:rFonts w:cstheme="minorHAnsi"/>
        </w:rPr>
        <w:t xml:space="preserve"> is provided by </w:t>
      </w:r>
      <w:r w:rsidR="00D86818">
        <w:rPr>
          <w:rFonts w:cstheme="minorHAnsi"/>
        </w:rPr>
        <w:t xml:space="preserve">tutors </w:t>
      </w:r>
      <w:r w:rsidR="00FE1C63">
        <w:rPr>
          <w:rFonts w:cstheme="minorHAnsi"/>
        </w:rPr>
        <w:t xml:space="preserve">who </w:t>
      </w:r>
      <w:r w:rsidR="00D86818">
        <w:rPr>
          <w:rFonts w:cstheme="minorHAnsi"/>
        </w:rPr>
        <w:t>participate</w:t>
      </w:r>
      <w:r w:rsidR="00FE1C63">
        <w:rPr>
          <w:rFonts w:cstheme="minorHAnsi"/>
        </w:rPr>
        <w:t>d</w:t>
      </w:r>
      <w:r w:rsidR="00D86818">
        <w:rPr>
          <w:rFonts w:cstheme="minorHAnsi"/>
        </w:rPr>
        <w:t xml:space="preserve"> in a tutor training program </w:t>
      </w:r>
      <w:r w:rsidR="0033689E">
        <w:rPr>
          <w:rFonts w:cstheme="minorHAnsi"/>
        </w:rPr>
        <w:t xml:space="preserve">certified </w:t>
      </w:r>
      <w:r w:rsidR="00FE1C63">
        <w:rPr>
          <w:rFonts w:cstheme="minorHAnsi"/>
        </w:rPr>
        <w:t>by</w:t>
      </w:r>
      <w:r w:rsidR="00C04A82">
        <w:rPr>
          <w:rFonts w:cstheme="minorHAnsi"/>
        </w:rPr>
        <w:t xml:space="preserve"> the College Reading and Learning Association.</w:t>
      </w:r>
      <w:r w:rsidR="00A4619A">
        <w:rPr>
          <w:rFonts w:cstheme="minorHAnsi"/>
        </w:rPr>
        <w:t xml:space="preserve"> </w:t>
      </w:r>
      <w:r w:rsidR="008E11D7">
        <w:rPr>
          <w:rFonts w:cstheme="minorHAnsi"/>
        </w:rPr>
        <w:t>In addition, t</w:t>
      </w:r>
      <w:r w:rsidR="007B2366">
        <w:rPr>
          <w:rFonts w:cstheme="minorHAnsi"/>
        </w:rPr>
        <w:t xml:space="preserve">he OIRA </w:t>
      </w:r>
      <w:r w:rsidR="008E11D7">
        <w:rPr>
          <w:rFonts w:cstheme="minorHAnsi"/>
        </w:rPr>
        <w:t xml:space="preserve">routinely collects data </w:t>
      </w:r>
      <w:r w:rsidR="00C82B31">
        <w:rPr>
          <w:rFonts w:cstheme="minorHAnsi"/>
        </w:rPr>
        <w:t>related to student success</w:t>
      </w:r>
      <w:r w:rsidR="00265E53">
        <w:rPr>
          <w:rFonts w:cstheme="minorHAnsi"/>
        </w:rPr>
        <w:t xml:space="preserve">, such as </w:t>
      </w:r>
      <w:r w:rsidR="002A70FE">
        <w:rPr>
          <w:rFonts w:cstheme="minorHAnsi"/>
        </w:rPr>
        <w:t>student surveys</w:t>
      </w:r>
      <w:r w:rsidR="00A275AA">
        <w:rPr>
          <w:rFonts w:cstheme="minorHAnsi"/>
        </w:rPr>
        <w:t xml:space="preserve">, </w:t>
      </w:r>
      <w:r w:rsidR="002A70FE">
        <w:rPr>
          <w:rFonts w:cstheme="minorHAnsi"/>
        </w:rPr>
        <w:t>GPA analyse</w:t>
      </w:r>
      <w:r w:rsidR="00265E53">
        <w:rPr>
          <w:rFonts w:cstheme="minorHAnsi"/>
        </w:rPr>
        <w:t>s,</w:t>
      </w:r>
      <w:r w:rsidR="00A275AA">
        <w:rPr>
          <w:rFonts w:cstheme="minorHAnsi"/>
        </w:rPr>
        <w:t xml:space="preserve"> and assessment of student learning (see Standard </w:t>
      </w:r>
      <w:r w:rsidR="00F26FA3">
        <w:rPr>
          <w:rFonts w:cstheme="minorHAnsi"/>
        </w:rPr>
        <w:t>Eight</w:t>
      </w:r>
      <w:r w:rsidR="00A275AA">
        <w:rPr>
          <w:rFonts w:cstheme="minorHAnsi"/>
        </w:rPr>
        <w:t>)</w:t>
      </w:r>
      <w:r w:rsidR="00017BA1">
        <w:rPr>
          <w:rFonts w:cstheme="minorHAnsi"/>
        </w:rPr>
        <w:t>,</w:t>
      </w:r>
      <w:r w:rsidR="00265E53">
        <w:rPr>
          <w:rFonts w:cstheme="minorHAnsi"/>
        </w:rPr>
        <w:t xml:space="preserve"> to </w:t>
      </w:r>
      <w:r w:rsidR="00A275AA">
        <w:rPr>
          <w:rFonts w:cstheme="minorHAnsi"/>
        </w:rPr>
        <w:t>ensure effect</w:t>
      </w:r>
      <w:r w:rsidR="00477137">
        <w:rPr>
          <w:rFonts w:cstheme="minorHAnsi"/>
        </w:rPr>
        <w:t xml:space="preserve">ive processes are in place and the information is disseminated to appropriate </w:t>
      </w:r>
      <w:r w:rsidR="0095226A">
        <w:rPr>
          <w:rFonts w:cstheme="minorHAnsi"/>
        </w:rPr>
        <w:t xml:space="preserve">audiences or posted on the OIRA website as in the case of survey </w:t>
      </w:r>
      <w:r w:rsidR="002F66F0">
        <w:rPr>
          <w:rFonts w:cstheme="minorHAnsi"/>
        </w:rPr>
        <w:t xml:space="preserve">and assessment </w:t>
      </w:r>
      <w:r w:rsidR="0095226A">
        <w:rPr>
          <w:rFonts w:cstheme="minorHAnsi"/>
        </w:rPr>
        <w:t>results</w:t>
      </w:r>
      <w:r w:rsidR="00477137">
        <w:rPr>
          <w:rFonts w:cstheme="minorHAnsi"/>
        </w:rPr>
        <w:t xml:space="preserve">. </w:t>
      </w:r>
    </w:p>
    <w:p w14:paraId="2D0A186E" w14:textId="76283A22" w:rsidR="005078EC" w:rsidRPr="00C373B1" w:rsidRDefault="00D4489F" w:rsidP="00DC7331">
      <w:pPr>
        <w:pStyle w:val="NormalWeb"/>
        <w:shd w:val="clear" w:color="auto" w:fill="FFFFFF"/>
        <w:spacing w:before="0" w:beforeAutospacing="0" w:after="0" w:afterAutospacing="0"/>
        <w:rPr>
          <w:rFonts w:asciiTheme="minorHAnsi" w:hAnsiTheme="minorHAnsi" w:cstheme="minorHAnsi"/>
        </w:rPr>
      </w:pPr>
      <w:r>
        <w:rPr>
          <w:rFonts w:cstheme="minorHAnsi"/>
        </w:rPr>
        <w:t xml:space="preserve">6.14) </w:t>
      </w:r>
      <w:r w:rsidR="0076389F" w:rsidRPr="00B029B0">
        <w:rPr>
          <w:rFonts w:asciiTheme="minorHAnsi" w:hAnsiTheme="minorHAnsi" w:cstheme="minorHAnsi"/>
        </w:rPr>
        <w:t xml:space="preserve">As part of </w:t>
      </w:r>
      <w:r w:rsidR="00C92119">
        <w:rPr>
          <w:rFonts w:asciiTheme="minorHAnsi" w:hAnsiTheme="minorHAnsi" w:cstheme="minorHAnsi"/>
        </w:rPr>
        <w:t>the</w:t>
      </w:r>
      <w:r w:rsidR="00C92119" w:rsidRPr="00B029B0">
        <w:rPr>
          <w:rFonts w:asciiTheme="minorHAnsi" w:hAnsiTheme="minorHAnsi" w:cstheme="minorHAnsi"/>
        </w:rPr>
        <w:t xml:space="preserve"> </w:t>
      </w:r>
      <w:r w:rsidR="0076389F" w:rsidRPr="00B029B0">
        <w:rPr>
          <w:rFonts w:asciiTheme="minorHAnsi" w:hAnsiTheme="minorHAnsi" w:cstheme="minorHAnsi"/>
        </w:rPr>
        <w:t xml:space="preserve">annual </w:t>
      </w:r>
      <w:r w:rsidR="00C92119">
        <w:rPr>
          <w:rFonts w:asciiTheme="minorHAnsi" w:hAnsiTheme="minorHAnsi" w:cstheme="minorHAnsi"/>
        </w:rPr>
        <w:t xml:space="preserve">university budget and planning </w:t>
      </w:r>
      <w:r w:rsidR="0076389F" w:rsidRPr="00B029B0">
        <w:rPr>
          <w:rFonts w:asciiTheme="minorHAnsi" w:hAnsiTheme="minorHAnsi" w:cstheme="minorHAnsi"/>
        </w:rPr>
        <w:t>process, departments and schools evaluate their current levels of resources in relation to their mission within the university</w:t>
      </w:r>
      <w:r w:rsidR="00503C43">
        <w:rPr>
          <w:rFonts w:asciiTheme="minorHAnsi" w:hAnsiTheme="minorHAnsi" w:cstheme="minorHAnsi"/>
        </w:rPr>
        <w:t xml:space="preserve"> and make requests for </w:t>
      </w:r>
      <w:r w:rsidR="00503C43" w:rsidRPr="00C373B1">
        <w:rPr>
          <w:rFonts w:asciiTheme="minorHAnsi" w:hAnsiTheme="minorHAnsi" w:cstheme="minorHAnsi"/>
        </w:rPr>
        <w:t>additional resources (</w:t>
      </w:r>
      <w:r w:rsidR="004E024C">
        <w:rPr>
          <w:rFonts w:asciiTheme="minorHAnsi" w:hAnsiTheme="minorHAnsi" w:cstheme="minorHAnsi"/>
        </w:rPr>
        <w:t xml:space="preserve">base budget increases, </w:t>
      </w:r>
      <w:r w:rsidR="00503C43" w:rsidRPr="00C373B1">
        <w:rPr>
          <w:rFonts w:asciiTheme="minorHAnsi" w:hAnsiTheme="minorHAnsi" w:cstheme="minorHAnsi"/>
        </w:rPr>
        <w:t xml:space="preserve">one-time expenses, </w:t>
      </w:r>
      <w:r w:rsidR="00881EDC">
        <w:rPr>
          <w:rFonts w:asciiTheme="minorHAnsi" w:hAnsiTheme="minorHAnsi" w:cstheme="minorHAnsi"/>
        </w:rPr>
        <w:t>positions</w:t>
      </w:r>
      <w:r w:rsidR="00503C43" w:rsidRPr="00C373B1">
        <w:rPr>
          <w:rFonts w:asciiTheme="minorHAnsi" w:hAnsiTheme="minorHAnsi" w:cstheme="minorHAnsi"/>
        </w:rPr>
        <w:t xml:space="preserve">, </w:t>
      </w:r>
      <w:r w:rsidR="00881EDC">
        <w:rPr>
          <w:rFonts w:asciiTheme="minorHAnsi" w:hAnsiTheme="minorHAnsi" w:cstheme="minorHAnsi"/>
        </w:rPr>
        <w:t>and equipment</w:t>
      </w:r>
      <w:r w:rsidR="00503C43" w:rsidRPr="00C373B1">
        <w:rPr>
          <w:rFonts w:asciiTheme="minorHAnsi" w:hAnsiTheme="minorHAnsi" w:cstheme="minorHAnsi"/>
        </w:rPr>
        <w:t>)</w:t>
      </w:r>
      <w:r w:rsidR="00503C43">
        <w:rPr>
          <w:rFonts w:asciiTheme="minorHAnsi" w:hAnsiTheme="minorHAnsi" w:cstheme="minorHAnsi"/>
        </w:rPr>
        <w:t>, in alignment with SP2030</w:t>
      </w:r>
      <w:r w:rsidR="0076389F" w:rsidRPr="00B029B0">
        <w:rPr>
          <w:rFonts w:asciiTheme="minorHAnsi" w:hAnsiTheme="minorHAnsi" w:cstheme="minorHAnsi"/>
        </w:rPr>
        <w:t>.</w:t>
      </w:r>
      <w:r w:rsidR="00F769C0" w:rsidRPr="00B029B0">
        <w:rPr>
          <w:rFonts w:asciiTheme="minorHAnsi" w:hAnsiTheme="minorHAnsi" w:cstheme="minorHAnsi"/>
        </w:rPr>
        <w:t xml:space="preserve"> </w:t>
      </w:r>
      <w:r w:rsidR="00C04471">
        <w:rPr>
          <w:rFonts w:asciiTheme="minorHAnsi" w:hAnsiTheme="minorHAnsi" w:cstheme="minorHAnsi"/>
        </w:rPr>
        <w:t>A</w:t>
      </w:r>
      <w:r w:rsidR="00AD5584">
        <w:rPr>
          <w:rFonts w:asciiTheme="minorHAnsi" w:hAnsiTheme="minorHAnsi" w:cstheme="minorHAnsi"/>
        </w:rPr>
        <w:t>ll academic p</w:t>
      </w:r>
      <w:r w:rsidR="00F769C0" w:rsidRPr="00B029B0">
        <w:rPr>
          <w:rFonts w:asciiTheme="minorHAnsi" w:hAnsiTheme="minorHAnsi" w:cstheme="minorHAnsi"/>
        </w:rPr>
        <w:t>rograms undergo an external peer review</w:t>
      </w:r>
      <w:r w:rsidR="00BC12C9">
        <w:rPr>
          <w:rFonts w:asciiTheme="minorHAnsi" w:hAnsiTheme="minorHAnsi" w:cstheme="minorHAnsi"/>
        </w:rPr>
        <w:t xml:space="preserve"> on a regular cycle, be it from a discipline specific </w:t>
      </w:r>
      <w:r w:rsidR="001E017F">
        <w:rPr>
          <w:rFonts w:asciiTheme="minorHAnsi" w:hAnsiTheme="minorHAnsi" w:cstheme="minorHAnsi"/>
        </w:rPr>
        <w:t xml:space="preserve">national </w:t>
      </w:r>
      <w:r w:rsidR="00BC12C9">
        <w:rPr>
          <w:rFonts w:asciiTheme="minorHAnsi" w:hAnsiTheme="minorHAnsi" w:cstheme="minorHAnsi"/>
        </w:rPr>
        <w:t xml:space="preserve">accrediting body or </w:t>
      </w:r>
      <w:r w:rsidR="005A059C">
        <w:rPr>
          <w:rFonts w:asciiTheme="minorHAnsi" w:hAnsiTheme="minorHAnsi" w:cstheme="minorHAnsi"/>
        </w:rPr>
        <w:t>through the Program Review process</w:t>
      </w:r>
      <w:r w:rsidR="00C04471">
        <w:rPr>
          <w:rFonts w:asciiTheme="minorHAnsi" w:hAnsiTheme="minorHAnsi" w:cstheme="minorHAnsi"/>
        </w:rPr>
        <w:t xml:space="preserve"> (Standard Two)</w:t>
      </w:r>
      <w:r w:rsidR="005A059C">
        <w:rPr>
          <w:rFonts w:asciiTheme="minorHAnsi" w:hAnsiTheme="minorHAnsi" w:cstheme="minorHAnsi"/>
        </w:rPr>
        <w:t>.</w:t>
      </w:r>
      <w:r w:rsidR="00F769C0" w:rsidRPr="00B029B0">
        <w:rPr>
          <w:rFonts w:asciiTheme="minorHAnsi" w:hAnsiTheme="minorHAnsi" w:cstheme="minorHAnsi"/>
        </w:rPr>
        <w:t xml:space="preserve"> </w:t>
      </w:r>
      <w:r w:rsidR="005A059C">
        <w:rPr>
          <w:rFonts w:asciiTheme="minorHAnsi" w:hAnsiTheme="minorHAnsi" w:cstheme="minorHAnsi"/>
        </w:rPr>
        <w:t xml:space="preserve">In all cases, </w:t>
      </w:r>
      <w:r w:rsidR="00F769C0" w:rsidRPr="00B029B0">
        <w:rPr>
          <w:rFonts w:asciiTheme="minorHAnsi" w:hAnsiTheme="minorHAnsi" w:cstheme="minorHAnsi"/>
        </w:rPr>
        <w:t>the accompanied self-study and recommendation of the reviewer</w:t>
      </w:r>
      <w:r w:rsidR="005A059C">
        <w:rPr>
          <w:rFonts w:asciiTheme="minorHAnsi" w:hAnsiTheme="minorHAnsi" w:cstheme="minorHAnsi"/>
        </w:rPr>
        <w:t>(s)</w:t>
      </w:r>
      <w:r w:rsidR="00F769C0" w:rsidRPr="00B029B0">
        <w:rPr>
          <w:rFonts w:asciiTheme="minorHAnsi" w:hAnsiTheme="minorHAnsi" w:cstheme="minorHAnsi"/>
        </w:rPr>
        <w:t xml:space="preserve"> speak</w:t>
      </w:r>
      <w:r w:rsidR="00503C43">
        <w:rPr>
          <w:rFonts w:asciiTheme="minorHAnsi" w:hAnsiTheme="minorHAnsi" w:cstheme="minorHAnsi"/>
        </w:rPr>
        <w:t xml:space="preserve"> directly</w:t>
      </w:r>
      <w:r w:rsidR="00F769C0" w:rsidRPr="00B029B0">
        <w:rPr>
          <w:rFonts w:asciiTheme="minorHAnsi" w:hAnsiTheme="minorHAnsi" w:cstheme="minorHAnsi"/>
        </w:rPr>
        <w:t xml:space="preserve"> to the program’s </w:t>
      </w:r>
      <w:r w:rsidR="0094108A">
        <w:rPr>
          <w:rFonts w:asciiTheme="minorHAnsi" w:hAnsiTheme="minorHAnsi" w:cstheme="minorHAnsi"/>
        </w:rPr>
        <w:t>success with student learning</w:t>
      </w:r>
      <w:r w:rsidR="00382E82">
        <w:rPr>
          <w:rFonts w:asciiTheme="minorHAnsi" w:hAnsiTheme="minorHAnsi" w:cstheme="minorHAnsi"/>
        </w:rPr>
        <w:t>,</w:t>
      </w:r>
      <w:r w:rsidR="008D744B">
        <w:rPr>
          <w:rFonts w:asciiTheme="minorHAnsi" w:hAnsiTheme="minorHAnsi" w:cstheme="minorHAnsi"/>
        </w:rPr>
        <w:t xml:space="preserve"> as well as</w:t>
      </w:r>
      <w:r w:rsidR="0094108A">
        <w:rPr>
          <w:rFonts w:asciiTheme="minorHAnsi" w:hAnsiTheme="minorHAnsi" w:cstheme="minorHAnsi"/>
        </w:rPr>
        <w:t xml:space="preserve"> </w:t>
      </w:r>
      <w:r w:rsidR="00F769C0" w:rsidRPr="00B029B0">
        <w:rPr>
          <w:rFonts w:asciiTheme="minorHAnsi" w:hAnsiTheme="minorHAnsi" w:cstheme="minorHAnsi"/>
        </w:rPr>
        <w:t xml:space="preserve">current and anticipated future needs. </w:t>
      </w:r>
    </w:p>
    <w:p w14:paraId="240483D9" w14:textId="77777777" w:rsidR="00C373B1" w:rsidRPr="00B43B56" w:rsidRDefault="00C373B1" w:rsidP="00C56F55">
      <w:pPr>
        <w:pStyle w:val="Heading3"/>
        <w:rPr>
          <w:rFonts w:asciiTheme="minorHAnsi" w:eastAsia="Calibri" w:hAnsiTheme="minorHAnsi" w:cstheme="minorHAnsi"/>
          <w:b/>
          <w:bCs/>
          <w:color w:val="000000" w:themeColor="text1"/>
          <w:sz w:val="22"/>
          <w:szCs w:val="22"/>
        </w:rPr>
      </w:pPr>
    </w:p>
    <w:p w14:paraId="212A1175" w14:textId="514A21EE" w:rsidR="003F1368" w:rsidRPr="00C373B1" w:rsidRDefault="003F1368" w:rsidP="00C373B1">
      <w:pPr>
        <w:pStyle w:val="Heading3"/>
        <w:rPr>
          <w:rFonts w:asciiTheme="minorHAnsi" w:hAnsiTheme="minorHAnsi" w:cstheme="minorHAnsi"/>
          <w:sz w:val="22"/>
          <w:szCs w:val="22"/>
        </w:rPr>
      </w:pPr>
      <w:r w:rsidRPr="00C373B1">
        <w:rPr>
          <w:rFonts w:asciiTheme="minorHAnsi" w:eastAsia="Calibri" w:hAnsiTheme="minorHAnsi" w:cstheme="minorHAnsi"/>
          <w:b/>
          <w:bCs/>
          <w:color w:val="0A0A0A"/>
          <w:sz w:val="22"/>
          <w:szCs w:val="22"/>
        </w:rPr>
        <w:t>Teaching and Learning</w:t>
      </w:r>
    </w:p>
    <w:p w14:paraId="6FDD3613" w14:textId="28553B9E" w:rsidR="00D9274A" w:rsidRDefault="00303093" w:rsidP="00CF5FA5">
      <w:pPr>
        <w:rPr>
          <w:rFonts w:cstheme="minorHAnsi"/>
        </w:rPr>
      </w:pPr>
      <w:r>
        <w:rPr>
          <w:rFonts w:cstheme="minorHAnsi"/>
        </w:rPr>
        <w:t>6.1</w:t>
      </w:r>
      <w:r w:rsidR="00A21C8C">
        <w:rPr>
          <w:rFonts w:cstheme="minorHAnsi"/>
        </w:rPr>
        <w:t>5</w:t>
      </w:r>
      <w:r>
        <w:rPr>
          <w:rFonts w:cstheme="minorHAnsi"/>
        </w:rPr>
        <w:t xml:space="preserve">) </w:t>
      </w:r>
      <w:r w:rsidR="00F769C0" w:rsidRPr="00C373B1">
        <w:rPr>
          <w:rFonts w:cstheme="minorHAnsi"/>
        </w:rPr>
        <w:t xml:space="preserve">All programs have developed learning outcomes for their students as part of university-wide assessment activities. These outcomes, and the annual </w:t>
      </w:r>
      <w:r w:rsidR="00E15D60">
        <w:rPr>
          <w:rFonts w:cstheme="minorHAnsi"/>
        </w:rPr>
        <w:t xml:space="preserve">assessment </w:t>
      </w:r>
      <w:r w:rsidR="00F769C0" w:rsidRPr="00C373B1">
        <w:rPr>
          <w:rFonts w:cstheme="minorHAnsi"/>
        </w:rPr>
        <w:t xml:space="preserve">reports that </w:t>
      </w:r>
      <w:r w:rsidR="005718BE">
        <w:rPr>
          <w:rFonts w:cstheme="minorHAnsi"/>
        </w:rPr>
        <w:t>include outcome-specific</w:t>
      </w:r>
      <w:r w:rsidR="005718BE" w:rsidRPr="00C373B1">
        <w:rPr>
          <w:rFonts w:cstheme="minorHAnsi"/>
        </w:rPr>
        <w:t xml:space="preserve"> </w:t>
      </w:r>
      <w:r w:rsidR="00F769C0" w:rsidRPr="00C373B1">
        <w:rPr>
          <w:rFonts w:cstheme="minorHAnsi"/>
        </w:rPr>
        <w:t xml:space="preserve">data gathered on student achievement, are reviewed </w:t>
      </w:r>
      <w:r w:rsidR="00E174FB">
        <w:rPr>
          <w:rFonts w:cstheme="minorHAnsi"/>
        </w:rPr>
        <w:t>on a regul</w:t>
      </w:r>
      <w:r w:rsidR="00552378">
        <w:rPr>
          <w:rFonts w:cstheme="minorHAnsi"/>
        </w:rPr>
        <w:t xml:space="preserve">ar cycle </w:t>
      </w:r>
      <w:r w:rsidR="00F769C0" w:rsidRPr="00C373B1">
        <w:rPr>
          <w:rFonts w:cstheme="minorHAnsi"/>
        </w:rPr>
        <w:t xml:space="preserve">by the </w:t>
      </w:r>
      <w:hyperlink r:id="rId18" w:history="1">
        <w:r w:rsidR="004E7CD8">
          <w:rPr>
            <w:rStyle w:val="Hyperlink"/>
            <w:rFonts w:cstheme="minorHAnsi"/>
          </w:rPr>
          <w:t>AAC</w:t>
        </w:r>
      </w:hyperlink>
      <w:r w:rsidR="00034B9E" w:rsidRPr="00A841CD">
        <w:rPr>
          <w:rStyle w:val="Hyperlink"/>
          <w:rFonts w:cstheme="minorHAnsi"/>
          <w:color w:val="000000" w:themeColor="text1"/>
          <w:u w:val="none"/>
        </w:rPr>
        <w:t xml:space="preserve"> (see Standard 8)</w:t>
      </w:r>
      <w:r w:rsidR="00CF5FA5" w:rsidRPr="00A841CD">
        <w:rPr>
          <w:rFonts w:cstheme="minorHAnsi"/>
          <w:color w:val="000000" w:themeColor="text1"/>
        </w:rPr>
        <w:t xml:space="preserve">. </w:t>
      </w:r>
      <w:r w:rsidR="00CF5FA5" w:rsidRPr="00C373B1">
        <w:rPr>
          <w:rFonts w:cstheme="minorHAnsi"/>
        </w:rPr>
        <w:t xml:space="preserve">Peer-review of instruction methods and materials is an expected part of the </w:t>
      </w:r>
      <w:r w:rsidR="000F7583">
        <w:rPr>
          <w:rFonts w:cstheme="minorHAnsi"/>
        </w:rPr>
        <w:t>renewal,</w:t>
      </w:r>
      <w:r w:rsidR="00CF5FA5" w:rsidRPr="00C373B1">
        <w:rPr>
          <w:rFonts w:cstheme="minorHAnsi"/>
        </w:rPr>
        <w:t xml:space="preserve"> promotio</w:t>
      </w:r>
      <w:r w:rsidR="000F7583">
        <w:rPr>
          <w:rFonts w:cstheme="minorHAnsi"/>
        </w:rPr>
        <w:t xml:space="preserve">n, </w:t>
      </w:r>
      <w:r w:rsidR="00CF5FA5" w:rsidRPr="00C373B1">
        <w:rPr>
          <w:rFonts w:cstheme="minorHAnsi"/>
        </w:rPr>
        <w:t>tenure, and professional assessment</w:t>
      </w:r>
      <w:r w:rsidR="000F7583">
        <w:rPr>
          <w:rFonts w:cstheme="minorHAnsi"/>
        </w:rPr>
        <w:t xml:space="preserve"> </w:t>
      </w:r>
      <w:r w:rsidR="00CF5FA5" w:rsidRPr="00C373B1">
        <w:rPr>
          <w:rFonts w:cstheme="minorHAnsi"/>
        </w:rPr>
        <w:t xml:space="preserve">process, as laid out in the </w:t>
      </w:r>
      <w:r w:rsidR="0008350E">
        <w:rPr>
          <w:rFonts w:cstheme="minorHAnsi"/>
        </w:rPr>
        <w:t>CBA</w:t>
      </w:r>
      <w:r w:rsidR="000F7583">
        <w:rPr>
          <w:rFonts w:cstheme="minorHAnsi"/>
        </w:rPr>
        <w:t>, Article</w:t>
      </w:r>
      <w:r w:rsidR="00CF5FA5" w:rsidRPr="00C373B1">
        <w:rPr>
          <w:rFonts w:cstheme="minorHAnsi"/>
        </w:rPr>
        <w:t xml:space="preserve"> </w:t>
      </w:r>
      <w:r w:rsidR="000F7583">
        <w:rPr>
          <w:rFonts w:cstheme="minorHAnsi"/>
        </w:rPr>
        <w:t xml:space="preserve">4.11.7 </w:t>
      </w:r>
      <w:r w:rsidR="00CF5FA5" w:rsidRPr="00C373B1">
        <w:rPr>
          <w:rFonts w:cstheme="minorHAnsi"/>
        </w:rPr>
        <w:t xml:space="preserve">and </w:t>
      </w:r>
      <w:r w:rsidR="007B318D" w:rsidRPr="00C373B1">
        <w:rPr>
          <w:rFonts w:cstheme="minorHAnsi"/>
        </w:rPr>
        <w:t xml:space="preserve">the </w:t>
      </w:r>
      <w:hyperlink r:id="rId19" w:history="1">
        <w:r w:rsidR="007B318D" w:rsidRPr="00C373B1">
          <w:rPr>
            <w:rStyle w:val="Hyperlink"/>
            <w:rFonts w:cstheme="minorHAnsi"/>
          </w:rPr>
          <w:t>departmental guidelines</w:t>
        </w:r>
      </w:hyperlink>
      <w:r w:rsidR="007B318D" w:rsidRPr="00C373B1">
        <w:rPr>
          <w:rFonts w:cstheme="minorHAnsi"/>
        </w:rPr>
        <w:t xml:space="preserve"> for evaluation. Several </w:t>
      </w:r>
      <w:hyperlink r:id="rId20" w:history="1">
        <w:r w:rsidR="007B318D" w:rsidRPr="00C373B1">
          <w:rPr>
            <w:rStyle w:val="Hyperlink"/>
            <w:rFonts w:cstheme="minorHAnsi"/>
          </w:rPr>
          <w:t>standing committees</w:t>
        </w:r>
      </w:hyperlink>
      <w:r w:rsidR="007B318D" w:rsidRPr="00C373B1">
        <w:rPr>
          <w:rFonts w:cstheme="minorHAnsi"/>
        </w:rPr>
        <w:t xml:space="preserve"> of the faculty are directly tasked with educational improvement, including </w:t>
      </w:r>
      <w:r w:rsidR="00436592">
        <w:rPr>
          <w:rFonts w:cstheme="minorHAnsi"/>
        </w:rPr>
        <w:t xml:space="preserve">Academic Advising, </w:t>
      </w:r>
      <w:r w:rsidR="007B318D" w:rsidRPr="00C373B1">
        <w:rPr>
          <w:rFonts w:cstheme="minorHAnsi"/>
        </w:rPr>
        <w:t xml:space="preserve">Academic Standards, Curriculum, Excellence in Teaching, and Online Learning. </w:t>
      </w:r>
      <w:r w:rsidR="004748AD" w:rsidRPr="00C373B1">
        <w:rPr>
          <w:rFonts w:cstheme="minorHAnsi"/>
        </w:rPr>
        <w:t xml:space="preserve">Prior to the pandemic, </w:t>
      </w:r>
      <w:r w:rsidR="00022773" w:rsidRPr="00C373B1">
        <w:rPr>
          <w:rFonts w:cstheme="minorHAnsi"/>
        </w:rPr>
        <w:t>the Instructional Design and Technology resource Center and Center for Teaching and Faculty Development</w:t>
      </w:r>
      <w:r w:rsidR="004F1BFD">
        <w:rPr>
          <w:rFonts w:cstheme="minorHAnsi"/>
        </w:rPr>
        <w:t xml:space="preserve"> (which now form the CTI), </w:t>
      </w:r>
      <w:r w:rsidR="004748AD" w:rsidRPr="00C373B1">
        <w:rPr>
          <w:rFonts w:cstheme="minorHAnsi"/>
        </w:rPr>
        <w:t>were tasked with helping faculty enhance their teaching</w:t>
      </w:r>
      <w:r w:rsidR="00E8406C">
        <w:rPr>
          <w:rFonts w:cstheme="minorHAnsi"/>
        </w:rPr>
        <w:t xml:space="preserve"> and </w:t>
      </w:r>
      <w:r w:rsidR="002562A3">
        <w:rPr>
          <w:rFonts w:cstheme="minorHAnsi"/>
        </w:rPr>
        <w:t>pedagogy</w:t>
      </w:r>
      <w:r w:rsidR="00383269">
        <w:rPr>
          <w:rFonts w:cstheme="minorHAnsi"/>
        </w:rPr>
        <w:t xml:space="preserve"> skills</w:t>
      </w:r>
      <w:r w:rsidR="00436592">
        <w:rPr>
          <w:rFonts w:cstheme="minorHAnsi"/>
        </w:rPr>
        <w:t>,</w:t>
      </w:r>
      <w:r w:rsidR="00E8406C">
        <w:rPr>
          <w:rFonts w:cstheme="minorHAnsi"/>
        </w:rPr>
        <w:t xml:space="preserve"> as well as adopt technological tools </w:t>
      </w:r>
      <w:r w:rsidR="00383269">
        <w:rPr>
          <w:rFonts w:cstheme="minorHAnsi"/>
        </w:rPr>
        <w:t xml:space="preserve">to </w:t>
      </w:r>
      <w:r w:rsidR="001751A9">
        <w:rPr>
          <w:rFonts w:cstheme="minorHAnsi"/>
        </w:rPr>
        <w:t xml:space="preserve">improve their online and hybrid instruction. </w:t>
      </w:r>
      <w:r w:rsidR="00765822">
        <w:rPr>
          <w:rFonts w:cstheme="minorHAnsi"/>
        </w:rPr>
        <w:t xml:space="preserve"> </w:t>
      </w:r>
    </w:p>
    <w:p w14:paraId="6A4A877B" w14:textId="09D4DB98" w:rsidR="000E1FE0" w:rsidRPr="00C373B1" w:rsidRDefault="00820CC2" w:rsidP="00480FA3">
      <w:pPr>
        <w:spacing w:line="240" w:lineRule="auto"/>
        <w:rPr>
          <w:rFonts w:eastAsia="Calibri" w:cstheme="minorHAnsi"/>
          <w:color w:val="0A0A0A"/>
        </w:rPr>
      </w:pPr>
      <w:r>
        <w:rPr>
          <w:rFonts w:cstheme="minorHAnsi"/>
        </w:rPr>
        <w:t xml:space="preserve">6.16) </w:t>
      </w:r>
      <w:r w:rsidR="008137F8">
        <w:rPr>
          <w:rFonts w:eastAsia="Calibri" w:cstheme="minorHAnsi"/>
          <w:color w:val="0A0A0A"/>
        </w:rPr>
        <w:t>Central</w:t>
      </w:r>
      <w:r w:rsidR="000E1FE0" w:rsidRPr="00C373B1">
        <w:rPr>
          <w:rFonts w:eastAsia="Calibri" w:cstheme="minorHAnsi"/>
          <w:color w:val="0A0A0A"/>
        </w:rPr>
        <w:t xml:space="preserve"> has been able to provide a variety of new instructional methodologies, including </w:t>
      </w:r>
      <w:r w:rsidR="00BA3854">
        <w:rPr>
          <w:rFonts w:eastAsia="Calibri" w:cstheme="minorHAnsi"/>
          <w:color w:val="0A0A0A"/>
        </w:rPr>
        <w:t xml:space="preserve">remote learning </w:t>
      </w:r>
      <w:r w:rsidR="000E1FE0" w:rsidRPr="00C373B1">
        <w:rPr>
          <w:rFonts w:eastAsia="Calibri" w:cstheme="minorHAnsi"/>
          <w:color w:val="0A0A0A"/>
        </w:rPr>
        <w:t xml:space="preserve">options, in the wake of the COVID-19 disruption. </w:t>
      </w:r>
      <w:r w:rsidR="008137F8">
        <w:rPr>
          <w:rFonts w:eastAsia="Calibri" w:cstheme="minorHAnsi"/>
          <w:color w:val="0A0A0A"/>
        </w:rPr>
        <w:t>D</w:t>
      </w:r>
      <w:r w:rsidR="000E1FE0" w:rsidRPr="00C373B1">
        <w:rPr>
          <w:rFonts w:eastAsia="Calibri" w:cstheme="minorHAnsi"/>
          <w:color w:val="0A0A0A"/>
        </w:rPr>
        <w:t xml:space="preserve">ecisions about course delivery were made with the input of faculty and department chairs to ensure that the learning goals of programs and courses were met. Student support for the new modes of delivery came through </w:t>
      </w:r>
      <w:r w:rsidR="008137F8">
        <w:rPr>
          <w:rFonts w:eastAsia="Calibri" w:cstheme="minorHAnsi"/>
          <w:color w:val="0A0A0A"/>
        </w:rPr>
        <w:t>CTI</w:t>
      </w:r>
      <w:r w:rsidR="0042283F">
        <w:rPr>
          <w:rFonts w:eastAsia="Calibri" w:cstheme="minorHAnsi"/>
          <w:color w:val="0A0A0A"/>
        </w:rPr>
        <w:t xml:space="preserve"> </w:t>
      </w:r>
      <w:r w:rsidR="000E1FE0" w:rsidRPr="00C373B1">
        <w:rPr>
          <w:rFonts w:eastAsia="Calibri" w:cstheme="minorHAnsi"/>
          <w:color w:val="0A0A0A"/>
        </w:rPr>
        <w:t xml:space="preserve">and Information Technology. </w:t>
      </w:r>
      <w:r w:rsidR="00AD66A3">
        <w:rPr>
          <w:rFonts w:eastAsia="Calibri" w:cstheme="minorHAnsi"/>
          <w:color w:val="0A0A0A"/>
        </w:rPr>
        <w:t>Analys</w:t>
      </w:r>
      <w:r w:rsidR="00BD165B">
        <w:rPr>
          <w:rFonts w:eastAsia="Calibri" w:cstheme="minorHAnsi"/>
          <w:color w:val="0A0A0A"/>
        </w:rPr>
        <w:t>e</w:t>
      </w:r>
      <w:r w:rsidR="00AD66A3">
        <w:rPr>
          <w:rFonts w:eastAsia="Calibri" w:cstheme="minorHAnsi"/>
          <w:color w:val="0A0A0A"/>
        </w:rPr>
        <w:t xml:space="preserve">s of </w:t>
      </w:r>
      <w:r w:rsidR="00BB2DDC">
        <w:rPr>
          <w:rFonts w:eastAsia="Calibri" w:cstheme="minorHAnsi"/>
          <w:color w:val="0A0A0A"/>
        </w:rPr>
        <w:t>courses taught between Fall 2017 and Spring</w:t>
      </w:r>
      <w:r w:rsidR="00946EAC">
        <w:rPr>
          <w:rFonts w:eastAsia="Calibri" w:cstheme="minorHAnsi"/>
          <w:color w:val="0A0A0A"/>
        </w:rPr>
        <w:t xml:space="preserve"> 2021 </w:t>
      </w:r>
      <w:r w:rsidR="00426CF6">
        <w:rPr>
          <w:rFonts w:eastAsia="Calibri" w:cstheme="minorHAnsi"/>
          <w:color w:val="0A0A0A"/>
        </w:rPr>
        <w:t xml:space="preserve">revealed that there was no discernable difference between the </w:t>
      </w:r>
      <w:r w:rsidR="004F758F">
        <w:rPr>
          <w:rFonts w:eastAsia="Calibri" w:cstheme="minorHAnsi"/>
          <w:color w:val="0A0A0A"/>
        </w:rPr>
        <w:t xml:space="preserve">average grades earned in </w:t>
      </w:r>
      <w:r w:rsidR="0000684E">
        <w:rPr>
          <w:rFonts w:eastAsia="Calibri" w:cstheme="minorHAnsi"/>
          <w:color w:val="0A0A0A"/>
        </w:rPr>
        <w:t xml:space="preserve">a </w:t>
      </w:r>
      <w:r w:rsidR="004F758F">
        <w:rPr>
          <w:rFonts w:eastAsia="Calibri" w:cstheme="minorHAnsi"/>
          <w:color w:val="0A0A0A"/>
        </w:rPr>
        <w:t>course</w:t>
      </w:r>
      <w:r w:rsidR="00426CF6">
        <w:rPr>
          <w:rFonts w:eastAsia="Calibri" w:cstheme="minorHAnsi"/>
          <w:color w:val="0A0A0A"/>
        </w:rPr>
        <w:t xml:space="preserve"> (course GPA)</w:t>
      </w:r>
      <w:r w:rsidR="004F758F">
        <w:rPr>
          <w:rFonts w:eastAsia="Calibri" w:cstheme="minorHAnsi"/>
          <w:color w:val="0A0A0A"/>
        </w:rPr>
        <w:t xml:space="preserve"> </w:t>
      </w:r>
      <w:r w:rsidR="00B76822">
        <w:rPr>
          <w:rFonts w:eastAsia="Calibri" w:cstheme="minorHAnsi"/>
          <w:color w:val="0A0A0A"/>
        </w:rPr>
        <w:t>or</w:t>
      </w:r>
      <w:r w:rsidR="004F758F">
        <w:rPr>
          <w:rFonts w:eastAsia="Calibri" w:cstheme="minorHAnsi"/>
          <w:color w:val="0A0A0A"/>
        </w:rPr>
        <w:t xml:space="preserve"> the </w:t>
      </w:r>
      <w:r w:rsidR="009C59DE">
        <w:rPr>
          <w:rFonts w:eastAsia="Calibri" w:cstheme="minorHAnsi"/>
          <w:color w:val="0A0A0A"/>
        </w:rPr>
        <w:t xml:space="preserve">rate at which </w:t>
      </w:r>
      <w:r w:rsidR="009C59DE">
        <w:rPr>
          <w:rFonts w:eastAsia="Calibri" w:cstheme="minorHAnsi"/>
          <w:color w:val="0A0A0A"/>
        </w:rPr>
        <w:lastRenderedPageBreak/>
        <w:t>students earned a D, F or withdrew from a course</w:t>
      </w:r>
      <w:r w:rsidR="00B76822">
        <w:rPr>
          <w:rFonts w:eastAsia="Calibri" w:cstheme="minorHAnsi"/>
          <w:color w:val="0A0A0A"/>
        </w:rPr>
        <w:t>,</w:t>
      </w:r>
      <w:r w:rsidR="006520E0">
        <w:rPr>
          <w:rFonts w:eastAsia="Calibri" w:cstheme="minorHAnsi"/>
          <w:color w:val="0A0A0A"/>
        </w:rPr>
        <w:t xml:space="preserve"> when the</w:t>
      </w:r>
      <w:r w:rsidR="00BF12B3">
        <w:rPr>
          <w:rFonts w:eastAsia="Calibri" w:cstheme="minorHAnsi"/>
          <w:color w:val="0A0A0A"/>
        </w:rPr>
        <w:t xml:space="preserve"> </w:t>
      </w:r>
      <w:r w:rsidR="006520E0">
        <w:rPr>
          <w:rFonts w:eastAsia="Calibri" w:cstheme="minorHAnsi"/>
          <w:color w:val="0A0A0A"/>
        </w:rPr>
        <w:t xml:space="preserve">data were grouped by </w:t>
      </w:r>
      <w:r w:rsidR="00BF12B3">
        <w:rPr>
          <w:rFonts w:eastAsia="Calibri" w:cstheme="minorHAnsi"/>
          <w:color w:val="0A0A0A"/>
        </w:rPr>
        <w:t>se</w:t>
      </w:r>
      <w:r w:rsidR="00CA0CFB">
        <w:rPr>
          <w:rFonts w:eastAsia="Calibri" w:cstheme="minorHAnsi"/>
          <w:color w:val="0A0A0A"/>
        </w:rPr>
        <w:t xml:space="preserve">mesters leading up to the pandemic, or after it started. </w:t>
      </w:r>
    </w:p>
    <w:p w14:paraId="2629A8F7" w14:textId="41FE66BC" w:rsidR="000E1FE0" w:rsidRPr="00C373B1" w:rsidRDefault="00686139" w:rsidP="000E1FE0">
      <w:pPr>
        <w:rPr>
          <w:rFonts w:eastAsia="Calibri" w:cstheme="minorHAnsi"/>
          <w:b/>
          <w:bCs/>
          <w:color w:val="0A0A0A"/>
        </w:rPr>
      </w:pPr>
      <w:r>
        <w:rPr>
          <w:rFonts w:cstheme="minorHAnsi"/>
        </w:rPr>
        <w:t xml:space="preserve">6.17) </w:t>
      </w:r>
      <w:r w:rsidR="000E1FE0" w:rsidRPr="00C373B1">
        <w:rPr>
          <w:rFonts w:eastAsia="Calibri" w:cstheme="minorHAnsi"/>
          <w:color w:val="0A0A0A"/>
        </w:rPr>
        <w:t xml:space="preserve">Enhancing the quality of teaching and learning is a mission of every member of the Division of Academic Affairs. The university provides extensive programs and full-time support through the </w:t>
      </w:r>
      <w:r w:rsidR="002E14C2">
        <w:rPr>
          <w:rFonts w:eastAsia="Calibri" w:cstheme="minorHAnsi"/>
          <w:color w:val="0A0A0A"/>
        </w:rPr>
        <w:t>CTI</w:t>
      </w:r>
      <w:r w:rsidR="000E1FE0" w:rsidRPr="00C373B1">
        <w:rPr>
          <w:rFonts w:eastAsia="Calibri" w:cstheme="minorHAnsi"/>
          <w:color w:val="0A0A0A"/>
        </w:rPr>
        <w:t xml:space="preserve"> whose mission, in</w:t>
      </w:r>
      <w:r w:rsidR="007B049B">
        <w:rPr>
          <w:rFonts w:eastAsia="Calibri" w:cstheme="minorHAnsi"/>
          <w:color w:val="0A0A0A"/>
        </w:rPr>
        <w:t>cludes</w:t>
      </w:r>
      <w:r w:rsidR="000E1FE0" w:rsidRPr="00C373B1">
        <w:rPr>
          <w:rFonts w:eastAsia="Calibri" w:cstheme="minorHAnsi"/>
          <w:color w:val="0A0A0A"/>
        </w:rPr>
        <w:t xml:space="preserve"> </w:t>
      </w:r>
      <w:r w:rsidR="000E1FE0" w:rsidRPr="00F66478">
        <w:rPr>
          <w:rFonts w:eastAsia="Calibri" w:cstheme="minorHAnsi"/>
          <w:color w:val="0A0A0A"/>
        </w:rPr>
        <w:t>provid</w:t>
      </w:r>
      <w:r w:rsidR="007B049B" w:rsidRPr="00F66478">
        <w:rPr>
          <w:rFonts w:eastAsia="Calibri" w:cstheme="minorHAnsi"/>
          <w:color w:val="0A0A0A"/>
        </w:rPr>
        <w:t>ing Faculty</w:t>
      </w:r>
      <w:r w:rsidR="000E1FE0" w:rsidRPr="00F66478">
        <w:rPr>
          <w:rFonts w:eastAsia="Calibri" w:cstheme="minorHAnsi"/>
          <w:color w:val="0A0A0A"/>
        </w:rPr>
        <w:t xml:space="preserve"> the opportunity to engage with new and novel pedagogies with the highest level of instructional design technological support needed to stay on the cutting-edge of pedagogical development</w:t>
      </w:r>
      <w:r w:rsidR="000E1FE0" w:rsidRPr="00C373B1">
        <w:rPr>
          <w:rFonts w:eastAsia="Calibri" w:cstheme="minorHAnsi"/>
          <w:color w:val="0A0A0A"/>
        </w:rPr>
        <w:t>.</w:t>
      </w:r>
      <w:r w:rsidR="00ED1EAD">
        <w:rPr>
          <w:rFonts w:eastAsia="Calibri" w:cstheme="minorHAnsi"/>
          <w:color w:val="0A0A0A"/>
        </w:rPr>
        <w:t xml:space="preserve"> </w:t>
      </w:r>
      <w:r w:rsidR="001054A1">
        <w:rPr>
          <w:rFonts w:eastAsia="Calibri" w:cstheme="minorHAnsi"/>
          <w:color w:val="0A0A0A"/>
        </w:rPr>
        <w:t>O</w:t>
      </w:r>
      <w:r w:rsidR="007B02E9">
        <w:rPr>
          <w:rFonts w:eastAsia="Calibri" w:cstheme="minorHAnsi"/>
          <w:color w:val="0A0A0A"/>
        </w:rPr>
        <w:t>ur</w:t>
      </w:r>
      <w:r w:rsidR="001054A1">
        <w:rPr>
          <w:rFonts w:eastAsia="Calibri" w:cstheme="minorHAnsi"/>
          <w:color w:val="0A0A0A"/>
        </w:rPr>
        <w:t xml:space="preserve"> new</w:t>
      </w:r>
      <w:r w:rsidR="007B02E9">
        <w:rPr>
          <w:rFonts w:eastAsia="Calibri" w:cstheme="minorHAnsi"/>
          <w:color w:val="0A0A0A"/>
        </w:rPr>
        <w:t xml:space="preserve"> XR lab (</w:t>
      </w:r>
      <w:r w:rsidR="008C07B4">
        <w:rPr>
          <w:rFonts w:eastAsia="Calibri" w:cstheme="minorHAnsi"/>
          <w:color w:val="0A0A0A"/>
        </w:rPr>
        <w:t>Virtual Rea</w:t>
      </w:r>
      <w:r w:rsidR="007B02E9">
        <w:rPr>
          <w:rFonts w:eastAsia="Calibri" w:cstheme="minorHAnsi"/>
          <w:color w:val="0A0A0A"/>
        </w:rPr>
        <w:t>lity, Mixed Reality, and Augmented Reality)</w:t>
      </w:r>
      <w:r w:rsidR="00493310">
        <w:rPr>
          <w:rFonts w:eastAsia="Calibri" w:cstheme="minorHAnsi"/>
          <w:color w:val="0A0A0A"/>
        </w:rPr>
        <w:t xml:space="preserve"> is </w:t>
      </w:r>
      <w:r w:rsidR="00781119">
        <w:rPr>
          <w:rFonts w:eastAsia="Calibri" w:cstheme="minorHAnsi"/>
          <w:color w:val="0A0A0A"/>
        </w:rPr>
        <w:t>first in Connecticut and is pushing faculty</w:t>
      </w:r>
      <w:r w:rsidR="000D059B">
        <w:rPr>
          <w:rFonts w:eastAsia="Calibri" w:cstheme="minorHAnsi"/>
          <w:color w:val="0A0A0A"/>
        </w:rPr>
        <w:t xml:space="preserve"> to explore </w:t>
      </w:r>
      <w:r w:rsidR="00DF4EB8">
        <w:rPr>
          <w:rFonts w:eastAsia="Calibri" w:cstheme="minorHAnsi"/>
          <w:color w:val="0A0A0A"/>
        </w:rPr>
        <w:t xml:space="preserve">new ways of delivering course content to the next generation of students. </w:t>
      </w:r>
      <w:r w:rsidR="00734BD6">
        <w:rPr>
          <w:rFonts w:eastAsia="Calibri" w:cstheme="minorHAnsi"/>
          <w:color w:val="0A0A0A"/>
        </w:rPr>
        <w:t xml:space="preserve">Additionally, Faculty can experiment </w:t>
      </w:r>
      <w:r w:rsidR="000E1FE0" w:rsidRPr="00C373B1">
        <w:rPr>
          <w:rFonts w:eastAsia="Calibri" w:cstheme="minorHAnsi"/>
        </w:rPr>
        <w:t xml:space="preserve">with new pedagogies through </w:t>
      </w:r>
      <w:r w:rsidR="007E3D7E">
        <w:rPr>
          <w:rFonts w:eastAsia="Calibri" w:cstheme="minorHAnsi"/>
        </w:rPr>
        <w:t xml:space="preserve">internal grants, such as the </w:t>
      </w:r>
      <w:r w:rsidR="000E1FE0" w:rsidRPr="00C373B1">
        <w:rPr>
          <w:rFonts w:eastAsia="Calibri" w:cstheme="minorHAnsi"/>
        </w:rPr>
        <w:t>Curriculum Development</w:t>
      </w:r>
      <w:r w:rsidR="007E3D7E">
        <w:rPr>
          <w:rFonts w:eastAsia="Calibri" w:cstheme="minorHAnsi"/>
        </w:rPr>
        <w:t xml:space="preserve">, </w:t>
      </w:r>
      <w:r w:rsidR="000E1FE0" w:rsidRPr="00C373B1">
        <w:rPr>
          <w:rFonts w:eastAsia="Calibri" w:cstheme="minorHAnsi"/>
        </w:rPr>
        <w:t>Professional Development</w:t>
      </w:r>
      <w:r w:rsidR="007E3D7E">
        <w:rPr>
          <w:rFonts w:eastAsia="Calibri" w:cstheme="minorHAnsi"/>
        </w:rPr>
        <w:t>, and NextGen</w:t>
      </w:r>
      <w:r w:rsidR="000E1FE0" w:rsidRPr="00C373B1">
        <w:rPr>
          <w:rFonts w:eastAsia="Calibri" w:cstheme="minorHAnsi"/>
        </w:rPr>
        <w:t xml:space="preserve"> grants</w:t>
      </w:r>
      <w:r w:rsidR="00734BD6">
        <w:rPr>
          <w:rFonts w:eastAsia="Calibri" w:cstheme="minorHAnsi"/>
        </w:rPr>
        <w:t>.</w:t>
      </w:r>
      <w:r w:rsidR="000E1FE0" w:rsidRPr="00C373B1">
        <w:rPr>
          <w:rFonts w:eastAsia="Calibri" w:cstheme="minorHAnsi"/>
        </w:rPr>
        <w:t xml:space="preserve"> </w:t>
      </w:r>
      <w:r w:rsidR="000E1FE0" w:rsidRPr="00C373B1">
        <w:rPr>
          <w:rFonts w:eastAsia="Calibri" w:cstheme="minorHAnsi"/>
          <w:color w:val="0A0A0A"/>
        </w:rPr>
        <w:t>Instructional effectiveness is continuously monitored through a variety of data collection mechanisms,</w:t>
      </w:r>
      <w:r w:rsidR="00840101">
        <w:rPr>
          <w:rFonts w:eastAsia="Calibri" w:cstheme="minorHAnsi"/>
          <w:color w:val="0A0A0A"/>
        </w:rPr>
        <w:t xml:space="preserve"> such as course evaluations, peer reviews, and </w:t>
      </w:r>
      <w:r w:rsidR="006B17C3">
        <w:rPr>
          <w:rFonts w:eastAsia="Calibri" w:cstheme="minorHAnsi"/>
          <w:color w:val="0A0A0A"/>
        </w:rPr>
        <w:t>department assessment reports</w:t>
      </w:r>
      <w:r w:rsidR="00957465">
        <w:rPr>
          <w:rFonts w:eastAsia="Calibri" w:cstheme="minorHAnsi"/>
          <w:color w:val="0A0A0A"/>
        </w:rPr>
        <w:t xml:space="preserve">. </w:t>
      </w:r>
      <w:r w:rsidR="000E1FE0" w:rsidRPr="00C373B1">
        <w:rPr>
          <w:rFonts w:eastAsia="Calibri" w:cstheme="minorHAnsi"/>
        </w:rPr>
        <w:t xml:space="preserve">The evaluation of load credit activity is the first and most important element in </w:t>
      </w:r>
      <w:r w:rsidR="00215602">
        <w:rPr>
          <w:rStyle w:val="normaltextrun"/>
          <w:rFonts w:cstheme="minorHAnsi"/>
        </w:rPr>
        <w:t xml:space="preserve">renewal, </w:t>
      </w:r>
      <w:r w:rsidR="00215602" w:rsidRPr="00F86291">
        <w:rPr>
          <w:rStyle w:val="normaltextrun"/>
          <w:rFonts w:cstheme="minorHAnsi"/>
        </w:rPr>
        <w:t>promotion,</w:t>
      </w:r>
      <w:r w:rsidR="00215602">
        <w:rPr>
          <w:rStyle w:val="normaltextrun"/>
          <w:rFonts w:cstheme="minorHAnsi"/>
        </w:rPr>
        <w:t xml:space="preserve"> </w:t>
      </w:r>
      <w:r w:rsidR="00215602" w:rsidRPr="00F86291">
        <w:rPr>
          <w:rStyle w:val="normaltextrun"/>
          <w:rFonts w:cstheme="minorHAnsi"/>
        </w:rPr>
        <w:t>tenure</w:t>
      </w:r>
      <w:r w:rsidR="00215602">
        <w:rPr>
          <w:rStyle w:val="normaltextrun"/>
          <w:rFonts w:cstheme="minorHAnsi"/>
        </w:rPr>
        <w:t>, and</w:t>
      </w:r>
      <w:r w:rsidR="00215602" w:rsidRPr="00F86291">
        <w:rPr>
          <w:rStyle w:val="normaltextrun"/>
          <w:rFonts w:cstheme="minorHAnsi"/>
        </w:rPr>
        <w:t xml:space="preserve"> professional assessment </w:t>
      </w:r>
      <w:r w:rsidR="000E1FE0" w:rsidRPr="00C373B1">
        <w:rPr>
          <w:rFonts w:eastAsia="Calibri" w:cstheme="minorHAnsi"/>
        </w:rPr>
        <w:t xml:space="preserve">review processes. </w:t>
      </w:r>
    </w:p>
    <w:p w14:paraId="5A43AA54" w14:textId="5A995E4A" w:rsidR="000E1FE0" w:rsidRPr="00C373B1" w:rsidRDefault="00612796" w:rsidP="001A5163">
      <w:pPr>
        <w:rPr>
          <w:rFonts w:eastAsia="Calibri" w:cstheme="minorHAnsi"/>
          <w:b/>
          <w:bCs/>
        </w:rPr>
      </w:pPr>
      <w:r>
        <w:rPr>
          <w:rFonts w:eastAsia="Calibri" w:cstheme="minorHAnsi"/>
          <w:color w:val="0A0A0A"/>
        </w:rPr>
        <w:t xml:space="preserve">6.18) </w:t>
      </w:r>
      <w:r w:rsidR="00E0781E">
        <w:rPr>
          <w:rFonts w:eastAsia="Calibri" w:cstheme="minorHAnsi"/>
          <w:color w:val="0A0A0A"/>
        </w:rPr>
        <w:t>The number of Faculty is sufficient</w:t>
      </w:r>
      <w:r w:rsidR="00F300CD">
        <w:rPr>
          <w:rFonts w:eastAsia="Calibri" w:cstheme="minorHAnsi"/>
          <w:color w:val="0A0A0A"/>
        </w:rPr>
        <w:t xml:space="preserve"> to </w:t>
      </w:r>
      <w:r w:rsidRPr="00C373B1">
        <w:rPr>
          <w:rFonts w:eastAsia="Calibri" w:cstheme="minorHAnsi"/>
          <w:color w:val="0A0A0A"/>
        </w:rPr>
        <w:t>ensure that students do not take a majority of their courses with a single instructor</w:t>
      </w:r>
      <w:r w:rsidR="00D85F19">
        <w:rPr>
          <w:rFonts w:eastAsia="Calibri" w:cstheme="minorHAnsi"/>
          <w:color w:val="0A0A0A"/>
        </w:rPr>
        <w:t xml:space="preserve"> and</w:t>
      </w:r>
      <w:r w:rsidR="001A5163" w:rsidRPr="001A5163">
        <w:rPr>
          <w:rFonts w:eastAsia="Calibri" w:cstheme="minorHAnsi"/>
          <w:color w:val="0A0A0A"/>
        </w:rPr>
        <w:t xml:space="preserve"> are</w:t>
      </w:r>
      <w:r w:rsidR="001A5163">
        <w:rPr>
          <w:rFonts w:eastAsia="Calibri" w:cstheme="minorHAnsi"/>
          <w:color w:val="0A0A0A"/>
        </w:rPr>
        <w:t xml:space="preserve"> </w:t>
      </w:r>
      <w:r w:rsidR="001A5163" w:rsidRPr="001A5163">
        <w:rPr>
          <w:rFonts w:eastAsia="Calibri" w:cstheme="minorHAnsi"/>
          <w:color w:val="0A0A0A"/>
        </w:rPr>
        <w:t xml:space="preserve">exposed to </w:t>
      </w:r>
      <w:r w:rsidR="0020205D">
        <w:rPr>
          <w:rFonts w:eastAsia="Calibri" w:cstheme="minorHAnsi"/>
          <w:color w:val="0A0A0A"/>
        </w:rPr>
        <w:t>diverse</w:t>
      </w:r>
      <w:r w:rsidR="007B3875">
        <w:rPr>
          <w:rFonts w:eastAsia="Calibri" w:cstheme="minorHAnsi"/>
          <w:color w:val="0A0A0A"/>
        </w:rPr>
        <w:t xml:space="preserve"> Faculty</w:t>
      </w:r>
      <w:r w:rsidR="001A5163" w:rsidRPr="001A5163">
        <w:rPr>
          <w:rFonts w:eastAsia="Calibri" w:cstheme="minorHAnsi"/>
          <w:color w:val="0A0A0A"/>
        </w:rPr>
        <w:t xml:space="preserve"> </w:t>
      </w:r>
      <w:r w:rsidR="00DA7FDB">
        <w:rPr>
          <w:rFonts w:eastAsia="Calibri" w:cstheme="minorHAnsi"/>
          <w:color w:val="0A0A0A"/>
        </w:rPr>
        <w:t xml:space="preserve">with </w:t>
      </w:r>
      <w:r w:rsidR="0020205D">
        <w:rPr>
          <w:rFonts w:eastAsia="Calibri" w:cstheme="minorHAnsi"/>
          <w:color w:val="0A0A0A"/>
        </w:rPr>
        <w:t>various</w:t>
      </w:r>
      <w:r w:rsidR="001A5163" w:rsidRPr="001A5163">
        <w:rPr>
          <w:rFonts w:eastAsia="Calibri" w:cstheme="minorHAnsi"/>
          <w:color w:val="0A0A0A"/>
        </w:rPr>
        <w:t xml:space="preserve"> teaching</w:t>
      </w:r>
      <w:r w:rsidR="001A5163">
        <w:rPr>
          <w:rFonts w:eastAsia="Calibri" w:cstheme="minorHAnsi"/>
          <w:color w:val="0A0A0A"/>
        </w:rPr>
        <w:t xml:space="preserve"> </w:t>
      </w:r>
      <w:r w:rsidR="001A5163" w:rsidRPr="001A5163">
        <w:rPr>
          <w:rFonts w:eastAsia="Calibri" w:cstheme="minorHAnsi"/>
          <w:color w:val="0A0A0A"/>
        </w:rPr>
        <w:t>styles and viewpoints.</w:t>
      </w:r>
      <w:r w:rsidR="001A5163">
        <w:rPr>
          <w:rFonts w:eastAsia="Calibri" w:cstheme="minorHAnsi"/>
          <w:color w:val="0A0A0A"/>
        </w:rPr>
        <w:t xml:space="preserve"> </w:t>
      </w:r>
      <w:r w:rsidR="001A5163" w:rsidRPr="001A5163">
        <w:rPr>
          <w:rFonts w:eastAsia="Calibri" w:cstheme="minorHAnsi"/>
          <w:color w:val="0A0A0A"/>
        </w:rPr>
        <w:t>When feasible, multiple</w:t>
      </w:r>
      <w:r w:rsidR="001A5163">
        <w:rPr>
          <w:rFonts w:eastAsia="Calibri" w:cstheme="minorHAnsi"/>
          <w:color w:val="0A0A0A"/>
        </w:rPr>
        <w:t xml:space="preserve"> </w:t>
      </w:r>
      <w:r w:rsidR="001A5163" w:rsidRPr="001A5163">
        <w:rPr>
          <w:rFonts w:eastAsia="Calibri" w:cstheme="minorHAnsi"/>
          <w:color w:val="0A0A0A"/>
        </w:rPr>
        <w:t>sections of the same</w:t>
      </w:r>
      <w:r w:rsidR="001A5163">
        <w:rPr>
          <w:rFonts w:eastAsia="Calibri" w:cstheme="minorHAnsi"/>
          <w:color w:val="0A0A0A"/>
        </w:rPr>
        <w:t xml:space="preserve"> </w:t>
      </w:r>
      <w:r w:rsidR="001A5163" w:rsidRPr="001A5163">
        <w:rPr>
          <w:rFonts w:eastAsia="Calibri" w:cstheme="minorHAnsi"/>
          <w:color w:val="0A0A0A"/>
        </w:rPr>
        <w:t>course are distributed</w:t>
      </w:r>
      <w:r w:rsidR="001A5163">
        <w:rPr>
          <w:rFonts w:eastAsia="Calibri" w:cstheme="minorHAnsi"/>
          <w:color w:val="0A0A0A"/>
        </w:rPr>
        <w:t xml:space="preserve"> </w:t>
      </w:r>
      <w:r w:rsidR="001A5163" w:rsidRPr="001A5163">
        <w:rPr>
          <w:rFonts w:eastAsia="Calibri" w:cstheme="minorHAnsi"/>
          <w:color w:val="0A0A0A"/>
        </w:rPr>
        <w:t>amongst different</w:t>
      </w:r>
      <w:r w:rsidR="001A5163">
        <w:rPr>
          <w:rFonts w:eastAsia="Calibri" w:cstheme="minorHAnsi"/>
          <w:color w:val="0A0A0A"/>
        </w:rPr>
        <w:t xml:space="preserve"> </w:t>
      </w:r>
      <w:r w:rsidR="001A5163" w:rsidRPr="001A5163">
        <w:rPr>
          <w:rFonts w:eastAsia="Calibri" w:cstheme="minorHAnsi"/>
          <w:color w:val="0A0A0A"/>
        </w:rPr>
        <w:t>faculty; however,</w:t>
      </w:r>
      <w:r w:rsidR="001A5163">
        <w:rPr>
          <w:rFonts w:eastAsia="Calibri" w:cstheme="minorHAnsi"/>
          <w:color w:val="0A0A0A"/>
        </w:rPr>
        <w:t xml:space="preserve"> </w:t>
      </w:r>
      <w:r w:rsidR="001A5163" w:rsidRPr="001A5163">
        <w:rPr>
          <w:rFonts w:eastAsia="Calibri" w:cstheme="minorHAnsi"/>
          <w:color w:val="0A0A0A"/>
        </w:rPr>
        <w:t>where specialization is</w:t>
      </w:r>
      <w:r w:rsidR="001A5163">
        <w:rPr>
          <w:rFonts w:eastAsia="Calibri" w:cstheme="minorHAnsi"/>
          <w:color w:val="0A0A0A"/>
        </w:rPr>
        <w:t xml:space="preserve"> </w:t>
      </w:r>
      <w:r w:rsidR="001A5163" w:rsidRPr="001A5163">
        <w:rPr>
          <w:rFonts w:eastAsia="Calibri" w:cstheme="minorHAnsi"/>
          <w:color w:val="0A0A0A"/>
        </w:rPr>
        <w:t>important, one faculty</w:t>
      </w:r>
      <w:r w:rsidR="001A5163">
        <w:rPr>
          <w:rFonts w:eastAsia="Calibri" w:cstheme="minorHAnsi"/>
          <w:color w:val="0A0A0A"/>
        </w:rPr>
        <w:t xml:space="preserve"> </w:t>
      </w:r>
      <w:r w:rsidR="001A5163" w:rsidRPr="001A5163">
        <w:rPr>
          <w:rFonts w:eastAsia="Calibri" w:cstheme="minorHAnsi"/>
          <w:color w:val="0A0A0A"/>
        </w:rPr>
        <w:t>member may teach</w:t>
      </w:r>
      <w:r w:rsidR="001A5163">
        <w:rPr>
          <w:rFonts w:eastAsia="Calibri" w:cstheme="minorHAnsi"/>
          <w:color w:val="0A0A0A"/>
        </w:rPr>
        <w:t xml:space="preserve"> </w:t>
      </w:r>
      <w:r w:rsidR="001A5163" w:rsidRPr="001A5163">
        <w:rPr>
          <w:rFonts w:eastAsia="Calibri" w:cstheme="minorHAnsi"/>
          <w:color w:val="0A0A0A"/>
        </w:rPr>
        <w:t>multiple</w:t>
      </w:r>
      <w:r w:rsidR="001A5163">
        <w:rPr>
          <w:rFonts w:eastAsia="Calibri" w:cstheme="minorHAnsi"/>
          <w:color w:val="0A0A0A"/>
        </w:rPr>
        <w:t xml:space="preserve"> </w:t>
      </w:r>
      <w:r w:rsidR="001A5163" w:rsidRPr="001A5163">
        <w:rPr>
          <w:rFonts w:eastAsia="Calibri" w:cstheme="minorHAnsi"/>
          <w:color w:val="0A0A0A"/>
        </w:rPr>
        <w:t>sections.</w:t>
      </w:r>
      <w:r w:rsidR="001A5163">
        <w:rPr>
          <w:rFonts w:eastAsia="Calibri" w:cstheme="minorHAnsi"/>
          <w:color w:val="0A0A0A"/>
        </w:rPr>
        <w:t xml:space="preserve"> </w:t>
      </w:r>
      <w:r w:rsidR="000E1FE0" w:rsidRPr="00C373B1">
        <w:rPr>
          <w:rFonts w:eastAsia="Calibri" w:cstheme="minorHAnsi"/>
        </w:rPr>
        <w:t xml:space="preserve">Departments, as part of the outside review process and at other times, review the major learning outcomes of courses offered in multiple sections, but allow for faculty to use their academic freedom to structure instruction according to their own professional standards. </w:t>
      </w:r>
    </w:p>
    <w:p w14:paraId="6FEA877C" w14:textId="1DF73053" w:rsidR="003E5998" w:rsidRDefault="00612796" w:rsidP="00B32228">
      <w:pPr>
        <w:rPr>
          <w:rFonts w:cstheme="minorHAnsi"/>
        </w:rPr>
      </w:pPr>
      <w:r>
        <w:rPr>
          <w:rFonts w:cstheme="minorHAnsi"/>
        </w:rPr>
        <w:t xml:space="preserve">6.19) </w:t>
      </w:r>
      <w:r w:rsidR="00057E1B">
        <w:rPr>
          <w:rFonts w:cstheme="minorHAnsi"/>
        </w:rPr>
        <w:t xml:space="preserve">As mentioned in the 2018 self-study, CCSU continues to monitor its progress with advising. </w:t>
      </w:r>
      <w:r w:rsidR="002505C6">
        <w:rPr>
          <w:rFonts w:cstheme="minorHAnsi"/>
        </w:rPr>
        <w:t>In August 2019, Central hosted a Retention Summit</w:t>
      </w:r>
      <w:r w:rsidR="006A3620">
        <w:rPr>
          <w:rFonts w:cstheme="minorHAnsi"/>
        </w:rPr>
        <w:t xml:space="preserve"> with nearly 50 attendees from across the University, 1</w:t>
      </w:r>
      <w:r w:rsidR="00A7757F">
        <w:rPr>
          <w:rFonts w:cstheme="minorHAnsi"/>
        </w:rPr>
        <w:t>4</w:t>
      </w:r>
      <w:r w:rsidR="006A3620">
        <w:rPr>
          <w:rFonts w:cstheme="minorHAnsi"/>
        </w:rPr>
        <w:t xml:space="preserve"> of which</w:t>
      </w:r>
      <w:r w:rsidR="00A7757F">
        <w:rPr>
          <w:rFonts w:cstheme="minorHAnsi"/>
        </w:rPr>
        <w:t xml:space="preserve"> were either advisors or served on the Committee for Academic Advising. One of the outcomes of this retreat was to create a workgroup to </w:t>
      </w:r>
      <w:r w:rsidR="00057E1B">
        <w:rPr>
          <w:rFonts w:cstheme="minorHAnsi"/>
        </w:rPr>
        <w:t>review the current advising model and explore dual advising models. The Workgroup</w:t>
      </w:r>
      <w:r w:rsidR="00F24579">
        <w:rPr>
          <w:rFonts w:cstheme="minorHAnsi"/>
        </w:rPr>
        <w:t xml:space="preserve"> recommended a </w:t>
      </w:r>
      <w:r w:rsidR="00057E1B">
        <w:rPr>
          <w:rFonts w:cstheme="minorHAnsi"/>
        </w:rPr>
        <w:t>dual advising model</w:t>
      </w:r>
      <w:r w:rsidR="00F24579">
        <w:rPr>
          <w:rFonts w:cstheme="minorHAnsi"/>
        </w:rPr>
        <w:t xml:space="preserve"> </w:t>
      </w:r>
      <w:r w:rsidR="000E1FE0" w:rsidRPr="00C373B1">
        <w:rPr>
          <w:rFonts w:cstheme="minorHAnsi"/>
        </w:rPr>
        <w:t xml:space="preserve">where undergraduate students are assigned both a professional and faculty advisor upon entrance to the University. </w:t>
      </w:r>
      <w:r w:rsidR="00430E02">
        <w:rPr>
          <w:rFonts w:cstheme="minorHAnsi"/>
        </w:rPr>
        <w:t>Central is currently implementing a model that recognizes that</w:t>
      </w:r>
      <w:r w:rsidR="00A110A9">
        <w:rPr>
          <w:rFonts w:cstheme="minorHAnsi"/>
        </w:rPr>
        <w:t xml:space="preserve"> </w:t>
      </w:r>
      <w:r w:rsidR="00430E02">
        <w:rPr>
          <w:rFonts w:cstheme="minorHAnsi"/>
        </w:rPr>
        <w:t xml:space="preserve">student needs change as they </w:t>
      </w:r>
      <w:r w:rsidR="00430E02" w:rsidRPr="00C373B1">
        <w:rPr>
          <w:rFonts w:cstheme="minorHAnsi"/>
        </w:rPr>
        <w:t>progress</w:t>
      </w:r>
      <w:r w:rsidR="00430E02">
        <w:rPr>
          <w:rFonts w:cstheme="minorHAnsi"/>
        </w:rPr>
        <w:t>. T</w:t>
      </w:r>
      <w:r w:rsidR="00A110A9">
        <w:rPr>
          <w:rFonts w:cstheme="minorHAnsi"/>
        </w:rPr>
        <w:t>herefore</w:t>
      </w:r>
      <w:r w:rsidR="00F24579" w:rsidRPr="00C373B1">
        <w:rPr>
          <w:rFonts w:cstheme="minorHAnsi"/>
        </w:rPr>
        <w:t xml:space="preserve">, the initial primary advisor for a student is a </w:t>
      </w:r>
      <w:r w:rsidR="00A110A9">
        <w:rPr>
          <w:rFonts w:cstheme="minorHAnsi"/>
        </w:rPr>
        <w:t xml:space="preserve">12-month full-time </w:t>
      </w:r>
      <w:r w:rsidR="00F24579" w:rsidRPr="00C373B1">
        <w:rPr>
          <w:rFonts w:cstheme="minorHAnsi"/>
        </w:rPr>
        <w:t>professional advis</w:t>
      </w:r>
      <w:r w:rsidR="00B57EEB">
        <w:rPr>
          <w:rFonts w:cstheme="minorHAnsi"/>
        </w:rPr>
        <w:t>o</w:t>
      </w:r>
      <w:r w:rsidR="00F24579" w:rsidRPr="00C373B1">
        <w:rPr>
          <w:rFonts w:cstheme="minorHAnsi"/>
        </w:rPr>
        <w:t>r</w:t>
      </w:r>
      <w:r w:rsidR="00A110A9">
        <w:rPr>
          <w:rFonts w:cstheme="minorHAnsi"/>
        </w:rPr>
        <w:t xml:space="preserve"> who can advise and/or direct students to </w:t>
      </w:r>
      <w:r w:rsidR="00430E02">
        <w:rPr>
          <w:rFonts w:cstheme="minorHAnsi"/>
        </w:rPr>
        <w:t xml:space="preserve">needed </w:t>
      </w:r>
      <w:r w:rsidR="00A110A9">
        <w:rPr>
          <w:rFonts w:cstheme="minorHAnsi"/>
        </w:rPr>
        <w:t>resources</w:t>
      </w:r>
      <w:r w:rsidR="00F24579" w:rsidRPr="00C373B1">
        <w:rPr>
          <w:rFonts w:cstheme="minorHAnsi"/>
        </w:rPr>
        <w:t xml:space="preserve"> and the secondary advisor is a faculty member. As student</w:t>
      </w:r>
      <w:r w:rsidR="0082522D">
        <w:rPr>
          <w:rFonts w:cstheme="minorHAnsi"/>
        </w:rPr>
        <w:t>s</w:t>
      </w:r>
      <w:r w:rsidR="00F24579" w:rsidRPr="00C373B1">
        <w:rPr>
          <w:rFonts w:cstheme="minorHAnsi"/>
        </w:rPr>
        <w:t xml:space="preserve"> advance in the</w:t>
      </w:r>
      <w:r w:rsidR="0082522D">
        <w:rPr>
          <w:rFonts w:cstheme="minorHAnsi"/>
        </w:rPr>
        <w:t>ir degree</w:t>
      </w:r>
      <w:r w:rsidR="00F24579" w:rsidRPr="00C373B1">
        <w:rPr>
          <w:rFonts w:cstheme="minorHAnsi"/>
        </w:rPr>
        <w:t xml:space="preserve"> program, </w:t>
      </w:r>
      <w:r w:rsidR="00A110A9">
        <w:rPr>
          <w:rFonts w:cstheme="minorHAnsi"/>
        </w:rPr>
        <w:t xml:space="preserve">the </w:t>
      </w:r>
      <w:r w:rsidR="00A110A9" w:rsidRPr="00C373B1">
        <w:rPr>
          <w:rFonts w:cstheme="minorHAnsi"/>
        </w:rPr>
        <w:t xml:space="preserve">professional advisor transitions to the secondary </w:t>
      </w:r>
      <w:r w:rsidR="00A110A9">
        <w:rPr>
          <w:rFonts w:cstheme="minorHAnsi"/>
        </w:rPr>
        <w:t xml:space="preserve">and </w:t>
      </w:r>
      <w:r w:rsidR="00F24579" w:rsidRPr="00C373B1">
        <w:rPr>
          <w:rFonts w:cstheme="minorHAnsi"/>
        </w:rPr>
        <w:t>the faculty becomes the primary</w:t>
      </w:r>
      <w:r w:rsidR="005C0D6B">
        <w:rPr>
          <w:rFonts w:cstheme="minorHAnsi"/>
        </w:rPr>
        <w:t xml:space="preserve"> advisor who can </w:t>
      </w:r>
      <w:r w:rsidR="00912CC2">
        <w:rPr>
          <w:rFonts w:cstheme="minorHAnsi"/>
        </w:rPr>
        <w:t xml:space="preserve">better serve them in </w:t>
      </w:r>
      <w:r w:rsidR="00E87A6B">
        <w:rPr>
          <w:rFonts w:cstheme="minorHAnsi"/>
        </w:rPr>
        <w:t>upper-</w:t>
      </w:r>
      <w:r w:rsidR="00912CC2">
        <w:rPr>
          <w:rFonts w:cstheme="minorHAnsi"/>
        </w:rPr>
        <w:t xml:space="preserve">level major courses and </w:t>
      </w:r>
      <w:r w:rsidR="005247F4">
        <w:rPr>
          <w:rFonts w:cstheme="minorHAnsi"/>
        </w:rPr>
        <w:t xml:space="preserve">prepare them to be career ready. </w:t>
      </w:r>
      <w:r w:rsidR="003E5998">
        <w:rPr>
          <w:rFonts w:cstheme="minorHAnsi"/>
        </w:rPr>
        <w:t>To ensure continuity and quality</w:t>
      </w:r>
      <w:r w:rsidR="00392067">
        <w:rPr>
          <w:rFonts w:cstheme="minorHAnsi"/>
        </w:rPr>
        <w:t>, communication is encourage</w:t>
      </w:r>
      <w:r w:rsidR="003A0664">
        <w:rPr>
          <w:rFonts w:cstheme="minorHAnsi"/>
        </w:rPr>
        <w:t>d</w:t>
      </w:r>
      <w:r w:rsidR="00392067">
        <w:rPr>
          <w:rFonts w:cstheme="minorHAnsi"/>
        </w:rPr>
        <w:t xml:space="preserve"> between professional advisors and</w:t>
      </w:r>
      <w:r w:rsidR="003A0664">
        <w:rPr>
          <w:rFonts w:cstheme="minorHAnsi"/>
        </w:rPr>
        <w:t xml:space="preserve"> faculty advisors, </w:t>
      </w:r>
      <w:r w:rsidR="005A18FC">
        <w:rPr>
          <w:rFonts w:cstheme="minorHAnsi"/>
        </w:rPr>
        <w:t>trainings on advising and registration tools are offered by the Registrar’s office</w:t>
      </w:r>
      <w:r w:rsidR="006223D4">
        <w:rPr>
          <w:rFonts w:cstheme="minorHAnsi"/>
        </w:rPr>
        <w:t>,</w:t>
      </w:r>
      <w:r w:rsidR="005A18FC">
        <w:rPr>
          <w:rFonts w:cstheme="minorHAnsi"/>
        </w:rPr>
        <w:t xml:space="preserve"> and </w:t>
      </w:r>
      <w:r w:rsidR="002568A7">
        <w:rPr>
          <w:rFonts w:cstheme="minorHAnsi"/>
        </w:rPr>
        <w:t xml:space="preserve">all have access to professional development. </w:t>
      </w:r>
      <w:r w:rsidR="006C7F54">
        <w:rPr>
          <w:rFonts w:cstheme="minorHAnsi"/>
        </w:rPr>
        <w:t xml:space="preserve"> </w:t>
      </w:r>
      <w:r w:rsidR="000E1FE0" w:rsidRPr="00C373B1">
        <w:rPr>
          <w:rFonts w:cstheme="minorHAnsi"/>
        </w:rPr>
        <w:t xml:space="preserve"> </w:t>
      </w:r>
    </w:p>
    <w:p w14:paraId="45445F95" w14:textId="64EE4860" w:rsidR="00031004" w:rsidRDefault="00C814C9" w:rsidP="00CB5AC5">
      <w:pPr>
        <w:rPr>
          <w:rFonts w:cstheme="minorHAnsi"/>
        </w:rPr>
      </w:pPr>
      <w:r>
        <w:rPr>
          <w:rFonts w:cstheme="minorHAnsi"/>
        </w:rPr>
        <w:t>Central is making progress on advising. The results from the 2017 National Survey of Student Engagement (NSSE) Advising Module i</w:t>
      </w:r>
      <w:r w:rsidR="001D32B9" w:rsidRPr="00C373B1">
        <w:rPr>
          <w:rFonts w:cstheme="minorHAnsi"/>
        </w:rPr>
        <w:t xml:space="preserve">ndicated that freshmen at CCSU were </w:t>
      </w:r>
      <w:r>
        <w:rPr>
          <w:rFonts w:cstheme="minorHAnsi"/>
        </w:rPr>
        <w:t xml:space="preserve">significantly </w:t>
      </w:r>
      <w:r w:rsidR="001D32B9" w:rsidRPr="00C373B1">
        <w:rPr>
          <w:rFonts w:cstheme="minorHAnsi"/>
        </w:rPr>
        <w:t xml:space="preserve">much less engaged with advisors than students from other public </w:t>
      </w:r>
      <w:r w:rsidR="00223F57" w:rsidRPr="00C373B1">
        <w:rPr>
          <w:rFonts w:cstheme="minorHAnsi"/>
        </w:rPr>
        <w:t xml:space="preserve">4-year </w:t>
      </w:r>
      <w:r w:rsidR="001D32B9" w:rsidRPr="00C373B1">
        <w:rPr>
          <w:rFonts w:cstheme="minorHAnsi"/>
        </w:rPr>
        <w:t>institutions</w:t>
      </w:r>
      <w:r>
        <w:rPr>
          <w:rFonts w:cstheme="minorHAnsi"/>
        </w:rPr>
        <w:t xml:space="preserve"> (</w:t>
      </w:r>
      <w:hyperlink r:id="rId21" w:history="1">
        <w:r w:rsidR="001D32B9" w:rsidRPr="00C814C9">
          <w:rPr>
            <w:rStyle w:val="Hyperlink"/>
            <w:rFonts w:cstheme="minorHAnsi"/>
          </w:rPr>
          <w:t>10 of 11 questions</w:t>
        </w:r>
      </w:hyperlink>
      <w:r w:rsidR="00223F57">
        <w:rPr>
          <w:rFonts w:cstheme="minorHAnsi"/>
        </w:rPr>
        <w:t>, 91 percent</w:t>
      </w:r>
      <w:r>
        <w:rPr>
          <w:rFonts w:cstheme="minorHAnsi"/>
        </w:rPr>
        <w:t>)</w:t>
      </w:r>
      <w:r w:rsidR="00223F57">
        <w:rPr>
          <w:rFonts w:cstheme="minorHAnsi"/>
        </w:rPr>
        <w:t xml:space="preserve">. While the </w:t>
      </w:r>
      <w:hyperlink r:id="rId22" w:history="1">
        <w:r w:rsidR="00223F57" w:rsidRPr="00664804">
          <w:rPr>
            <w:rStyle w:val="Hyperlink"/>
            <w:rFonts w:cstheme="minorHAnsi"/>
          </w:rPr>
          <w:t>2021 NSSE Advising Module</w:t>
        </w:r>
      </w:hyperlink>
      <w:r w:rsidR="00223F57">
        <w:rPr>
          <w:rFonts w:cstheme="minorHAnsi"/>
        </w:rPr>
        <w:t xml:space="preserve"> has been expanded, eliminating direct comparisons of questions, the themes are consistent with prior years.</w:t>
      </w:r>
      <w:r w:rsidR="001830E6">
        <w:rPr>
          <w:rFonts w:cstheme="minorHAnsi"/>
        </w:rPr>
        <w:t xml:space="preserve"> The results indicate that CCSU freshmen are as engaged, if not more engaged in 13 of 31 questions. Seniors have a similar trend</w:t>
      </w:r>
      <w:r w:rsidR="001D32B9" w:rsidRPr="00C373B1">
        <w:rPr>
          <w:rFonts w:cstheme="minorHAnsi"/>
        </w:rPr>
        <w:t xml:space="preserve">. Questions that rose to significance were engagement with academic coaches (freshmen) and use of online systems to monitor </w:t>
      </w:r>
      <w:r w:rsidR="001D32B9" w:rsidRPr="00C373B1">
        <w:rPr>
          <w:rFonts w:cstheme="minorHAnsi"/>
        </w:rPr>
        <w:lastRenderedPageBreak/>
        <w:t xml:space="preserve">progress towards a degree (seniors). </w:t>
      </w:r>
      <w:r w:rsidR="00664804">
        <w:rPr>
          <w:rFonts w:cstheme="minorHAnsi"/>
        </w:rPr>
        <w:t xml:space="preserve">Assuring quality advising will continue to be a priority at Central and as such, it is incorporated into five different Objectives supporting Goals 1, 2, and 3 and is assessed in Metric 5 of Goal 1 in the SP2030. </w:t>
      </w:r>
    </w:p>
    <w:p w14:paraId="08158F8F" w14:textId="1A889D20" w:rsidR="00792220" w:rsidRPr="00E87A6B" w:rsidRDefault="00B9752D" w:rsidP="00651129">
      <w:pPr>
        <w:rPr>
          <w:rFonts w:eastAsia="Calibri" w:cstheme="minorHAnsi"/>
          <w:b/>
          <w:bCs/>
          <w:color w:val="0A0A0A"/>
        </w:rPr>
      </w:pPr>
      <w:r>
        <w:rPr>
          <w:rFonts w:eastAsia="Calibri" w:cstheme="minorHAnsi"/>
        </w:rPr>
        <w:t xml:space="preserve">6.20) </w:t>
      </w:r>
      <w:r w:rsidR="000E1FE0" w:rsidRPr="00C373B1">
        <w:rPr>
          <w:rFonts w:eastAsia="Calibri" w:cstheme="minorHAnsi"/>
        </w:rPr>
        <w:t xml:space="preserve">Central </w:t>
      </w:r>
      <w:r w:rsidR="00651129">
        <w:rPr>
          <w:rFonts w:eastAsia="Calibri" w:cstheme="minorHAnsi"/>
        </w:rPr>
        <w:t>supports Faculty</w:t>
      </w:r>
      <w:r w:rsidR="008745D4">
        <w:rPr>
          <w:rFonts w:eastAsia="Calibri" w:cstheme="minorHAnsi"/>
        </w:rPr>
        <w:t xml:space="preserve"> as they engage in</w:t>
      </w:r>
      <w:r w:rsidR="000E1FE0" w:rsidRPr="00C373B1">
        <w:rPr>
          <w:rFonts w:eastAsia="Calibri" w:cstheme="minorHAnsi"/>
        </w:rPr>
        <w:t xml:space="preserve"> scholarship, research, and creative activities. Faculty can apply for</w:t>
      </w:r>
      <w:r>
        <w:rPr>
          <w:rFonts w:eastAsia="Calibri" w:cstheme="minorHAnsi"/>
        </w:rPr>
        <w:t xml:space="preserve"> a variety of</w:t>
      </w:r>
      <w:r w:rsidR="00F8522A">
        <w:rPr>
          <w:rFonts w:eastAsia="Calibri" w:cstheme="minorHAnsi"/>
        </w:rPr>
        <w:t xml:space="preserve"> internal</w:t>
      </w:r>
      <w:r>
        <w:rPr>
          <w:rFonts w:eastAsia="Calibri" w:cstheme="minorHAnsi"/>
        </w:rPr>
        <w:t xml:space="preserve"> grants including,</w:t>
      </w:r>
      <w:r w:rsidR="000E1FE0" w:rsidRPr="00C373B1">
        <w:rPr>
          <w:rFonts w:eastAsia="Calibri" w:cstheme="minorHAnsi"/>
        </w:rPr>
        <w:t xml:space="preserve"> </w:t>
      </w:r>
      <w:r w:rsidR="00F8522A">
        <w:rPr>
          <w:rFonts w:eastAsia="Calibri" w:cstheme="minorHAnsi"/>
        </w:rPr>
        <w:t>AAUP</w:t>
      </w:r>
      <w:r w:rsidR="00F8522A" w:rsidRPr="00C373B1">
        <w:rPr>
          <w:rFonts w:eastAsia="Calibri" w:cstheme="minorHAnsi"/>
        </w:rPr>
        <w:t xml:space="preserve"> </w:t>
      </w:r>
      <w:r w:rsidR="000E1FE0" w:rsidRPr="00C373B1">
        <w:rPr>
          <w:rFonts w:eastAsia="Calibri" w:cstheme="minorHAnsi"/>
        </w:rPr>
        <w:t>Research, Faculty-Student Research, Faculty Development, and Research Reassigned Time.</w:t>
      </w:r>
      <w:r w:rsidR="00C639DB">
        <w:rPr>
          <w:rFonts w:eastAsia="Calibri" w:cstheme="minorHAnsi"/>
        </w:rPr>
        <w:t xml:space="preserve"> Since 2021</w:t>
      </w:r>
      <w:r w:rsidR="00174C4F">
        <w:rPr>
          <w:rFonts w:eastAsia="Calibri" w:cstheme="minorHAnsi"/>
        </w:rPr>
        <w:t>,</w:t>
      </w:r>
      <w:r w:rsidR="00C639DB">
        <w:rPr>
          <w:rFonts w:eastAsia="Calibri" w:cstheme="minorHAnsi"/>
        </w:rPr>
        <w:t xml:space="preserve"> </w:t>
      </w:r>
      <w:r w:rsidR="00174C4F">
        <w:rPr>
          <w:rFonts w:eastAsia="Calibri" w:cstheme="minorHAnsi"/>
        </w:rPr>
        <w:t xml:space="preserve">the </w:t>
      </w:r>
      <w:r w:rsidR="00C639DB">
        <w:rPr>
          <w:rFonts w:eastAsia="Calibri" w:cstheme="minorHAnsi"/>
        </w:rPr>
        <w:t>President has provided additional funds to support</w:t>
      </w:r>
      <w:r w:rsidR="00186134">
        <w:rPr>
          <w:rFonts w:eastAsia="Calibri" w:cstheme="minorHAnsi"/>
        </w:rPr>
        <w:t xml:space="preserve"> the Next Generation Student Success, Diversity, Innovation, and Community Engagement </w:t>
      </w:r>
      <w:r w:rsidR="00160B6B">
        <w:rPr>
          <w:rFonts w:eastAsia="Calibri" w:cstheme="minorHAnsi"/>
        </w:rPr>
        <w:t>to support new pedagogical approaches</w:t>
      </w:r>
      <w:r w:rsidR="00300CF4">
        <w:rPr>
          <w:rFonts w:eastAsia="Calibri" w:cstheme="minorHAnsi"/>
        </w:rPr>
        <w:t xml:space="preserve"> and</w:t>
      </w:r>
      <w:r w:rsidR="00C3499A">
        <w:rPr>
          <w:rFonts w:eastAsia="Calibri" w:cstheme="minorHAnsi"/>
        </w:rPr>
        <w:t xml:space="preserve"> initiatives aligned with SP2030</w:t>
      </w:r>
      <w:r w:rsidR="00300CF4">
        <w:rPr>
          <w:rFonts w:eastAsia="Calibri" w:cstheme="minorHAnsi"/>
        </w:rPr>
        <w:t xml:space="preserve">. </w:t>
      </w:r>
      <w:r w:rsidR="00651129" w:rsidRPr="00C373B1">
        <w:rPr>
          <w:rFonts w:eastAsia="Calibri" w:cstheme="minorHAnsi"/>
        </w:rPr>
        <w:t>Faculty research</w:t>
      </w:r>
      <w:r w:rsidR="00792220">
        <w:rPr>
          <w:rFonts w:eastAsia="Calibri" w:cstheme="minorHAnsi"/>
        </w:rPr>
        <w:t>/</w:t>
      </w:r>
      <w:r w:rsidR="00651129" w:rsidRPr="00C373B1">
        <w:rPr>
          <w:rFonts w:eastAsia="Calibri" w:cstheme="minorHAnsi"/>
        </w:rPr>
        <w:t xml:space="preserve">creative activity </w:t>
      </w:r>
      <w:r w:rsidR="00792220">
        <w:rPr>
          <w:rFonts w:eastAsia="Calibri" w:cstheme="minorHAnsi"/>
        </w:rPr>
        <w:t>is</w:t>
      </w:r>
      <w:r w:rsidR="00651129" w:rsidRPr="00C373B1">
        <w:rPr>
          <w:rFonts w:eastAsia="Calibri" w:cstheme="minorHAnsi"/>
        </w:rPr>
        <w:t xml:space="preserve"> the second most weighted category </w:t>
      </w:r>
      <w:r w:rsidR="00C3499A" w:rsidRPr="00C373B1">
        <w:rPr>
          <w:rFonts w:eastAsia="Calibri" w:cstheme="minorHAnsi"/>
        </w:rPr>
        <w:t xml:space="preserve">in </w:t>
      </w:r>
      <w:r w:rsidR="00C3499A">
        <w:rPr>
          <w:rStyle w:val="normaltextrun"/>
          <w:rFonts w:cstheme="minorHAnsi"/>
        </w:rPr>
        <w:t xml:space="preserve">renewal, </w:t>
      </w:r>
      <w:r w:rsidR="00C3499A" w:rsidRPr="00F86291">
        <w:rPr>
          <w:rStyle w:val="normaltextrun"/>
          <w:rFonts w:cstheme="minorHAnsi"/>
        </w:rPr>
        <w:t>promotion,</w:t>
      </w:r>
      <w:r w:rsidR="00C3499A">
        <w:rPr>
          <w:rStyle w:val="normaltextrun"/>
          <w:rFonts w:cstheme="minorHAnsi"/>
        </w:rPr>
        <w:t xml:space="preserve"> </w:t>
      </w:r>
      <w:r w:rsidR="00C3499A" w:rsidRPr="00F86291">
        <w:rPr>
          <w:rStyle w:val="normaltextrun"/>
          <w:rFonts w:cstheme="minorHAnsi"/>
        </w:rPr>
        <w:t>tenure</w:t>
      </w:r>
      <w:r w:rsidR="00C3499A">
        <w:rPr>
          <w:rStyle w:val="normaltextrun"/>
          <w:rFonts w:cstheme="minorHAnsi"/>
        </w:rPr>
        <w:t>, and</w:t>
      </w:r>
      <w:r w:rsidR="00C3499A" w:rsidRPr="00F86291">
        <w:rPr>
          <w:rStyle w:val="normaltextrun"/>
          <w:rFonts w:cstheme="minorHAnsi"/>
        </w:rPr>
        <w:t xml:space="preserve"> professional assessment </w:t>
      </w:r>
      <w:r w:rsidR="00C3499A" w:rsidRPr="00C373B1">
        <w:rPr>
          <w:rFonts w:eastAsia="Calibri" w:cstheme="minorHAnsi"/>
        </w:rPr>
        <w:t xml:space="preserve">review processes. </w:t>
      </w:r>
      <w:r w:rsidR="000C6006">
        <w:rPr>
          <w:rFonts w:eastAsia="Calibri" w:cstheme="minorHAnsi"/>
        </w:rPr>
        <w:t>Pol</w:t>
      </w:r>
      <w:r w:rsidR="00C76246">
        <w:rPr>
          <w:rFonts w:eastAsia="Calibri" w:cstheme="minorHAnsi"/>
        </w:rPr>
        <w:t xml:space="preserve">icies governing research on </w:t>
      </w:r>
      <w:hyperlink r:id="rId23" w:history="1">
        <w:r w:rsidR="00C76246" w:rsidRPr="00EC4649">
          <w:rPr>
            <w:rStyle w:val="Hyperlink"/>
            <w:rFonts w:eastAsia="Calibri" w:cstheme="minorHAnsi"/>
          </w:rPr>
          <w:t>humans</w:t>
        </w:r>
      </w:hyperlink>
      <w:r w:rsidR="00C76246">
        <w:rPr>
          <w:rFonts w:eastAsia="Calibri" w:cstheme="minorHAnsi"/>
        </w:rPr>
        <w:t xml:space="preserve"> and </w:t>
      </w:r>
      <w:hyperlink r:id="rId24" w:history="1">
        <w:r w:rsidR="00C76246" w:rsidRPr="007D3C43">
          <w:rPr>
            <w:rStyle w:val="Hyperlink"/>
            <w:rFonts w:eastAsia="Calibri" w:cstheme="minorHAnsi"/>
          </w:rPr>
          <w:t>animals</w:t>
        </w:r>
      </w:hyperlink>
      <w:r w:rsidR="00C76246">
        <w:rPr>
          <w:rFonts w:eastAsia="Calibri" w:cstheme="minorHAnsi"/>
        </w:rPr>
        <w:t xml:space="preserve"> are</w:t>
      </w:r>
      <w:r w:rsidR="00211E59">
        <w:rPr>
          <w:rFonts w:eastAsia="Calibri" w:cstheme="minorHAnsi"/>
        </w:rPr>
        <w:t xml:space="preserve"> communicated through Academic Affairs and are available on the website. </w:t>
      </w:r>
      <w:r w:rsidR="00EC4649">
        <w:rPr>
          <w:rFonts w:eastAsia="Calibri" w:cstheme="minorHAnsi"/>
        </w:rPr>
        <w:t>Faculty engage students in research</w:t>
      </w:r>
      <w:r w:rsidR="009E3AD4">
        <w:rPr>
          <w:rFonts w:eastAsia="Calibri" w:cstheme="minorHAnsi"/>
        </w:rPr>
        <w:t xml:space="preserve"> both in and </w:t>
      </w:r>
      <w:hyperlink r:id="rId25" w:history="1">
        <w:r w:rsidR="009E3AD4" w:rsidRPr="00B43073">
          <w:rPr>
            <w:rStyle w:val="Hyperlink"/>
            <w:rFonts w:eastAsia="Calibri" w:cstheme="minorHAnsi"/>
          </w:rPr>
          <w:t>outside</w:t>
        </w:r>
      </w:hyperlink>
      <w:r w:rsidR="009E3AD4">
        <w:rPr>
          <w:rFonts w:eastAsia="Calibri" w:cstheme="minorHAnsi"/>
        </w:rPr>
        <w:t xml:space="preserve"> the classroom. </w:t>
      </w:r>
      <w:r w:rsidR="00651129">
        <w:rPr>
          <w:rFonts w:eastAsia="Calibri" w:cstheme="minorHAnsi"/>
        </w:rPr>
        <w:t xml:space="preserve">While requirements vary in scope by </w:t>
      </w:r>
      <w:r w:rsidR="00523B20">
        <w:rPr>
          <w:rFonts w:eastAsia="Calibri" w:cstheme="minorHAnsi"/>
        </w:rPr>
        <w:t>major</w:t>
      </w:r>
      <w:r w:rsidR="00651129">
        <w:rPr>
          <w:rFonts w:eastAsia="Calibri" w:cstheme="minorHAnsi"/>
        </w:rPr>
        <w:t xml:space="preserve">, </w:t>
      </w:r>
      <w:r w:rsidR="00523B20">
        <w:rPr>
          <w:rFonts w:eastAsia="Calibri" w:cstheme="minorHAnsi"/>
        </w:rPr>
        <w:t>many degree programs</w:t>
      </w:r>
      <w:r w:rsidR="00523B20" w:rsidRPr="00C373B1">
        <w:rPr>
          <w:rFonts w:eastAsia="Calibri" w:cstheme="minorHAnsi"/>
        </w:rPr>
        <w:t xml:space="preserve"> </w:t>
      </w:r>
      <w:r w:rsidR="000E1FE0" w:rsidRPr="00C373B1">
        <w:rPr>
          <w:rFonts w:eastAsia="Calibri" w:cstheme="minorHAnsi"/>
        </w:rPr>
        <w:t>require a level of student research</w:t>
      </w:r>
      <w:r w:rsidR="00983FB6">
        <w:rPr>
          <w:rFonts w:eastAsia="Calibri" w:cstheme="minorHAnsi"/>
        </w:rPr>
        <w:t xml:space="preserve">. The </w:t>
      </w:r>
      <w:r w:rsidR="00983FB6" w:rsidRPr="00983FB6">
        <w:rPr>
          <w:rFonts w:eastAsia="Calibri" w:cstheme="minorHAnsi"/>
        </w:rPr>
        <w:t>University Research and Creative Achievement Program</w:t>
      </w:r>
      <w:r w:rsidR="00983FB6">
        <w:rPr>
          <w:rFonts w:eastAsia="Calibri" w:cstheme="minorHAnsi"/>
        </w:rPr>
        <w:t xml:space="preserve"> celebrates undergraduate and graduate student research across all disciplines. </w:t>
      </w:r>
    </w:p>
    <w:p w14:paraId="40859275" w14:textId="0F38D4EB" w:rsidR="005F7B43" w:rsidRPr="00C373B1" w:rsidRDefault="005F7B43" w:rsidP="00282178">
      <w:pPr>
        <w:rPr>
          <w:rFonts w:cstheme="minorHAnsi"/>
        </w:rPr>
      </w:pPr>
    </w:p>
    <w:sectPr w:rsidR="005F7B43" w:rsidRPr="00C373B1" w:rsidSect="00EC4868">
      <w:footerReference w:type="default" r:id="rId26"/>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B735" w14:textId="77777777" w:rsidR="00FF4FFE" w:rsidRDefault="00FF4FFE" w:rsidP="00D17B9C">
      <w:pPr>
        <w:spacing w:after="0" w:line="240" w:lineRule="auto"/>
      </w:pPr>
      <w:r>
        <w:separator/>
      </w:r>
    </w:p>
  </w:endnote>
  <w:endnote w:type="continuationSeparator" w:id="0">
    <w:p w14:paraId="1E126372" w14:textId="77777777" w:rsidR="00FF4FFE" w:rsidRDefault="00FF4FFE" w:rsidP="00D1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_______">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530837"/>
      <w:docPartObj>
        <w:docPartGallery w:val="Page Numbers (Bottom of Page)"/>
        <w:docPartUnique/>
      </w:docPartObj>
    </w:sdtPr>
    <w:sdtEndPr>
      <w:rPr>
        <w:noProof/>
      </w:rPr>
    </w:sdtEndPr>
    <w:sdtContent>
      <w:p w14:paraId="31DD1C9B" w14:textId="19BC96E9" w:rsidR="00D17B9C" w:rsidRDefault="00D17B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6C9AD" w14:textId="77777777" w:rsidR="00D17B9C" w:rsidRDefault="00D1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7DBD" w14:textId="77777777" w:rsidR="00FF4FFE" w:rsidRDefault="00FF4FFE" w:rsidP="00D17B9C">
      <w:pPr>
        <w:spacing w:after="0" w:line="240" w:lineRule="auto"/>
      </w:pPr>
      <w:r>
        <w:separator/>
      </w:r>
    </w:p>
  </w:footnote>
  <w:footnote w:type="continuationSeparator" w:id="0">
    <w:p w14:paraId="29BC9421" w14:textId="77777777" w:rsidR="00FF4FFE" w:rsidRDefault="00FF4FFE" w:rsidP="00D17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AA8"/>
    <w:multiLevelType w:val="hybridMultilevel"/>
    <w:tmpl w:val="6F9044EE"/>
    <w:lvl w:ilvl="0" w:tplc="6AF4908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F6C42"/>
    <w:multiLevelType w:val="multilevel"/>
    <w:tmpl w:val="0409001D"/>
    <w:styleLink w:val="TODO"/>
    <w:lvl w:ilvl="0">
      <w:start w:val="1"/>
      <w:numFmt w:val="decimal"/>
      <w:lvlText w:val="%1)"/>
      <w:lvlJc w:val="left"/>
      <w:pPr>
        <w:ind w:left="360" w:hanging="360"/>
      </w:pPr>
      <w:rPr>
        <w:rFonts w:ascii="_______" w:hAnsi="_______"/>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313866">
    <w:abstractNumId w:val="1"/>
  </w:num>
  <w:num w:numId="2" w16cid:durableId="589655287">
    <w:abstractNumId w:val="1"/>
  </w:num>
  <w:num w:numId="3" w16cid:durableId="18533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68"/>
    <w:rsid w:val="000028AD"/>
    <w:rsid w:val="00002A60"/>
    <w:rsid w:val="0000684E"/>
    <w:rsid w:val="00013E30"/>
    <w:rsid w:val="00017BA1"/>
    <w:rsid w:val="00022773"/>
    <w:rsid w:val="00022DF6"/>
    <w:rsid w:val="00023FF5"/>
    <w:rsid w:val="00031004"/>
    <w:rsid w:val="00034B9E"/>
    <w:rsid w:val="000354B5"/>
    <w:rsid w:val="000401BF"/>
    <w:rsid w:val="000406A7"/>
    <w:rsid w:val="00041AAE"/>
    <w:rsid w:val="00053A4C"/>
    <w:rsid w:val="00056A39"/>
    <w:rsid w:val="00057E1B"/>
    <w:rsid w:val="0006038F"/>
    <w:rsid w:val="00066670"/>
    <w:rsid w:val="00067E5B"/>
    <w:rsid w:val="00070A36"/>
    <w:rsid w:val="00073D89"/>
    <w:rsid w:val="00076046"/>
    <w:rsid w:val="0008350E"/>
    <w:rsid w:val="00094139"/>
    <w:rsid w:val="00094742"/>
    <w:rsid w:val="000976DE"/>
    <w:rsid w:val="000A380F"/>
    <w:rsid w:val="000A4DC7"/>
    <w:rsid w:val="000A6B34"/>
    <w:rsid w:val="000A75D8"/>
    <w:rsid w:val="000B2B34"/>
    <w:rsid w:val="000B2F07"/>
    <w:rsid w:val="000B4240"/>
    <w:rsid w:val="000C3975"/>
    <w:rsid w:val="000C423A"/>
    <w:rsid w:val="000C4B95"/>
    <w:rsid w:val="000C5703"/>
    <w:rsid w:val="000C5C28"/>
    <w:rsid w:val="000C6006"/>
    <w:rsid w:val="000C6728"/>
    <w:rsid w:val="000D0113"/>
    <w:rsid w:val="000D02B0"/>
    <w:rsid w:val="000D059B"/>
    <w:rsid w:val="000D693F"/>
    <w:rsid w:val="000D6EAB"/>
    <w:rsid w:val="000E1FE0"/>
    <w:rsid w:val="000E4B0A"/>
    <w:rsid w:val="000E758C"/>
    <w:rsid w:val="000F4403"/>
    <w:rsid w:val="000F7583"/>
    <w:rsid w:val="00101767"/>
    <w:rsid w:val="001054A1"/>
    <w:rsid w:val="00107C17"/>
    <w:rsid w:val="001133A2"/>
    <w:rsid w:val="00114E7C"/>
    <w:rsid w:val="0011509C"/>
    <w:rsid w:val="00117B52"/>
    <w:rsid w:val="001210CF"/>
    <w:rsid w:val="00124A95"/>
    <w:rsid w:val="00124C19"/>
    <w:rsid w:val="0012593B"/>
    <w:rsid w:val="0013172A"/>
    <w:rsid w:val="00132E96"/>
    <w:rsid w:val="0013410D"/>
    <w:rsid w:val="0014135B"/>
    <w:rsid w:val="00143A3A"/>
    <w:rsid w:val="00153C61"/>
    <w:rsid w:val="00160B6B"/>
    <w:rsid w:val="00164BC0"/>
    <w:rsid w:val="0016702C"/>
    <w:rsid w:val="00174C4F"/>
    <w:rsid w:val="00174EEA"/>
    <w:rsid w:val="001751A9"/>
    <w:rsid w:val="0018207B"/>
    <w:rsid w:val="001830E6"/>
    <w:rsid w:val="001843FC"/>
    <w:rsid w:val="00186134"/>
    <w:rsid w:val="00186C86"/>
    <w:rsid w:val="0019306A"/>
    <w:rsid w:val="00193CBB"/>
    <w:rsid w:val="00194C97"/>
    <w:rsid w:val="001A5163"/>
    <w:rsid w:val="001A540B"/>
    <w:rsid w:val="001A7D7E"/>
    <w:rsid w:val="001B2A78"/>
    <w:rsid w:val="001C4276"/>
    <w:rsid w:val="001C57B8"/>
    <w:rsid w:val="001C6F78"/>
    <w:rsid w:val="001D32B9"/>
    <w:rsid w:val="001D344E"/>
    <w:rsid w:val="001D3A60"/>
    <w:rsid w:val="001D7221"/>
    <w:rsid w:val="001E017F"/>
    <w:rsid w:val="001E02B0"/>
    <w:rsid w:val="001E68F8"/>
    <w:rsid w:val="001E6B73"/>
    <w:rsid w:val="001F4165"/>
    <w:rsid w:val="001F47DE"/>
    <w:rsid w:val="001F6FB5"/>
    <w:rsid w:val="00200D20"/>
    <w:rsid w:val="0020205D"/>
    <w:rsid w:val="00203D2E"/>
    <w:rsid w:val="00211E59"/>
    <w:rsid w:val="00215602"/>
    <w:rsid w:val="002239DB"/>
    <w:rsid w:val="00223F57"/>
    <w:rsid w:val="00227EF6"/>
    <w:rsid w:val="0023134D"/>
    <w:rsid w:val="002375CC"/>
    <w:rsid w:val="00237C9E"/>
    <w:rsid w:val="002451B8"/>
    <w:rsid w:val="00245C29"/>
    <w:rsid w:val="00246A55"/>
    <w:rsid w:val="002505C6"/>
    <w:rsid w:val="002562A3"/>
    <w:rsid w:val="002568A7"/>
    <w:rsid w:val="0026143B"/>
    <w:rsid w:val="002655B0"/>
    <w:rsid w:val="00265E53"/>
    <w:rsid w:val="002666CB"/>
    <w:rsid w:val="002676E3"/>
    <w:rsid w:val="002754BF"/>
    <w:rsid w:val="002809C5"/>
    <w:rsid w:val="00282178"/>
    <w:rsid w:val="002923F1"/>
    <w:rsid w:val="002A70FE"/>
    <w:rsid w:val="002B3832"/>
    <w:rsid w:val="002C20FB"/>
    <w:rsid w:val="002C4A98"/>
    <w:rsid w:val="002D3A3C"/>
    <w:rsid w:val="002E14C2"/>
    <w:rsid w:val="002E1EBC"/>
    <w:rsid w:val="002E5A30"/>
    <w:rsid w:val="002E6BD4"/>
    <w:rsid w:val="002E7426"/>
    <w:rsid w:val="002E7C39"/>
    <w:rsid w:val="002F22D5"/>
    <w:rsid w:val="002F2E06"/>
    <w:rsid w:val="002F66F0"/>
    <w:rsid w:val="00300CF4"/>
    <w:rsid w:val="00303093"/>
    <w:rsid w:val="00321DE5"/>
    <w:rsid w:val="00323769"/>
    <w:rsid w:val="00323790"/>
    <w:rsid w:val="00327873"/>
    <w:rsid w:val="00334DE9"/>
    <w:rsid w:val="00334E30"/>
    <w:rsid w:val="0033689E"/>
    <w:rsid w:val="00336D1A"/>
    <w:rsid w:val="003372E2"/>
    <w:rsid w:val="00352855"/>
    <w:rsid w:val="0035556E"/>
    <w:rsid w:val="00357FF2"/>
    <w:rsid w:val="00363FF6"/>
    <w:rsid w:val="003764BA"/>
    <w:rsid w:val="00380E9F"/>
    <w:rsid w:val="003822AA"/>
    <w:rsid w:val="00382E82"/>
    <w:rsid w:val="00383269"/>
    <w:rsid w:val="00383425"/>
    <w:rsid w:val="00383593"/>
    <w:rsid w:val="00392067"/>
    <w:rsid w:val="003A0664"/>
    <w:rsid w:val="003A0C0C"/>
    <w:rsid w:val="003A5272"/>
    <w:rsid w:val="003B1D0A"/>
    <w:rsid w:val="003B3EAA"/>
    <w:rsid w:val="003B5281"/>
    <w:rsid w:val="003C0670"/>
    <w:rsid w:val="003C3D17"/>
    <w:rsid w:val="003D0CC2"/>
    <w:rsid w:val="003D25FE"/>
    <w:rsid w:val="003D5BB7"/>
    <w:rsid w:val="003E046C"/>
    <w:rsid w:val="003E5998"/>
    <w:rsid w:val="003E5B75"/>
    <w:rsid w:val="003F0254"/>
    <w:rsid w:val="003F0E93"/>
    <w:rsid w:val="003F1368"/>
    <w:rsid w:val="00400EDC"/>
    <w:rsid w:val="00401479"/>
    <w:rsid w:val="00402B98"/>
    <w:rsid w:val="00406167"/>
    <w:rsid w:val="00420A1B"/>
    <w:rsid w:val="0042283F"/>
    <w:rsid w:val="00426312"/>
    <w:rsid w:val="00426CF6"/>
    <w:rsid w:val="00430E02"/>
    <w:rsid w:val="00436592"/>
    <w:rsid w:val="004448AC"/>
    <w:rsid w:val="00447419"/>
    <w:rsid w:val="00451DE6"/>
    <w:rsid w:val="004608AA"/>
    <w:rsid w:val="004627A7"/>
    <w:rsid w:val="004630D8"/>
    <w:rsid w:val="004636DF"/>
    <w:rsid w:val="004677B3"/>
    <w:rsid w:val="004748AD"/>
    <w:rsid w:val="00474FEB"/>
    <w:rsid w:val="00477137"/>
    <w:rsid w:val="00480FA3"/>
    <w:rsid w:val="004863E0"/>
    <w:rsid w:val="00487892"/>
    <w:rsid w:val="0048794B"/>
    <w:rsid w:val="00493310"/>
    <w:rsid w:val="004A4B79"/>
    <w:rsid w:val="004A51EC"/>
    <w:rsid w:val="004A567E"/>
    <w:rsid w:val="004B023B"/>
    <w:rsid w:val="004B0A0E"/>
    <w:rsid w:val="004B2C47"/>
    <w:rsid w:val="004B38B4"/>
    <w:rsid w:val="004C2849"/>
    <w:rsid w:val="004C7029"/>
    <w:rsid w:val="004D09B6"/>
    <w:rsid w:val="004D506E"/>
    <w:rsid w:val="004E024C"/>
    <w:rsid w:val="004E0A8B"/>
    <w:rsid w:val="004E364C"/>
    <w:rsid w:val="004E6C5D"/>
    <w:rsid w:val="004E7CD8"/>
    <w:rsid w:val="004F1BFD"/>
    <w:rsid w:val="004F37EA"/>
    <w:rsid w:val="004F758F"/>
    <w:rsid w:val="00503C43"/>
    <w:rsid w:val="00504EC4"/>
    <w:rsid w:val="00506E58"/>
    <w:rsid w:val="005078EC"/>
    <w:rsid w:val="005079C1"/>
    <w:rsid w:val="00512375"/>
    <w:rsid w:val="0051498C"/>
    <w:rsid w:val="00517C9E"/>
    <w:rsid w:val="00523B20"/>
    <w:rsid w:val="0052413C"/>
    <w:rsid w:val="005247F4"/>
    <w:rsid w:val="00531484"/>
    <w:rsid w:val="00532731"/>
    <w:rsid w:val="00537A9E"/>
    <w:rsid w:val="0054644C"/>
    <w:rsid w:val="0055170D"/>
    <w:rsid w:val="0055201E"/>
    <w:rsid w:val="00552378"/>
    <w:rsid w:val="0055527D"/>
    <w:rsid w:val="00565102"/>
    <w:rsid w:val="0056564D"/>
    <w:rsid w:val="005718BE"/>
    <w:rsid w:val="00580401"/>
    <w:rsid w:val="00585E0E"/>
    <w:rsid w:val="00591A75"/>
    <w:rsid w:val="005932C6"/>
    <w:rsid w:val="00594309"/>
    <w:rsid w:val="005948E5"/>
    <w:rsid w:val="00594EA6"/>
    <w:rsid w:val="005956F5"/>
    <w:rsid w:val="005A059C"/>
    <w:rsid w:val="005A18FC"/>
    <w:rsid w:val="005A6975"/>
    <w:rsid w:val="005B1402"/>
    <w:rsid w:val="005B6D1E"/>
    <w:rsid w:val="005C0D6B"/>
    <w:rsid w:val="005C1F64"/>
    <w:rsid w:val="005D3204"/>
    <w:rsid w:val="005D6F6D"/>
    <w:rsid w:val="005E0541"/>
    <w:rsid w:val="005E0FCC"/>
    <w:rsid w:val="005E11BA"/>
    <w:rsid w:val="005E4793"/>
    <w:rsid w:val="005F7B43"/>
    <w:rsid w:val="00600297"/>
    <w:rsid w:val="00606160"/>
    <w:rsid w:val="0060648B"/>
    <w:rsid w:val="00610204"/>
    <w:rsid w:val="00612796"/>
    <w:rsid w:val="006128E3"/>
    <w:rsid w:val="0061341E"/>
    <w:rsid w:val="006138F6"/>
    <w:rsid w:val="00622107"/>
    <w:rsid w:val="006223D4"/>
    <w:rsid w:val="00624B61"/>
    <w:rsid w:val="00627D9D"/>
    <w:rsid w:val="00630085"/>
    <w:rsid w:val="006372FD"/>
    <w:rsid w:val="006377DE"/>
    <w:rsid w:val="00651129"/>
    <w:rsid w:val="006520E0"/>
    <w:rsid w:val="00653756"/>
    <w:rsid w:val="00660943"/>
    <w:rsid w:val="00661D93"/>
    <w:rsid w:val="00664804"/>
    <w:rsid w:val="0066755F"/>
    <w:rsid w:val="00671D8B"/>
    <w:rsid w:val="00672110"/>
    <w:rsid w:val="00674CBF"/>
    <w:rsid w:val="00676117"/>
    <w:rsid w:val="00685413"/>
    <w:rsid w:val="006857A0"/>
    <w:rsid w:val="00686139"/>
    <w:rsid w:val="00686BE2"/>
    <w:rsid w:val="00686E0D"/>
    <w:rsid w:val="00686F4F"/>
    <w:rsid w:val="00691ACA"/>
    <w:rsid w:val="00696956"/>
    <w:rsid w:val="00697A67"/>
    <w:rsid w:val="006A3620"/>
    <w:rsid w:val="006B17C3"/>
    <w:rsid w:val="006B7158"/>
    <w:rsid w:val="006C3B06"/>
    <w:rsid w:val="006C7F54"/>
    <w:rsid w:val="006D556F"/>
    <w:rsid w:val="006E3DAE"/>
    <w:rsid w:val="006E69E2"/>
    <w:rsid w:val="006F581F"/>
    <w:rsid w:val="00702949"/>
    <w:rsid w:val="00711393"/>
    <w:rsid w:val="00725ED9"/>
    <w:rsid w:val="00732DDF"/>
    <w:rsid w:val="00734BD6"/>
    <w:rsid w:val="00742AB0"/>
    <w:rsid w:val="0074500A"/>
    <w:rsid w:val="007450B1"/>
    <w:rsid w:val="007453C6"/>
    <w:rsid w:val="00746001"/>
    <w:rsid w:val="00747B85"/>
    <w:rsid w:val="00753F01"/>
    <w:rsid w:val="0076389F"/>
    <w:rsid w:val="00765822"/>
    <w:rsid w:val="00770A9E"/>
    <w:rsid w:val="00771C8E"/>
    <w:rsid w:val="00773854"/>
    <w:rsid w:val="007771D0"/>
    <w:rsid w:val="00781119"/>
    <w:rsid w:val="007833F0"/>
    <w:rsid w:val="007879D7"/>
    <w:rsid w:val="00792220"/>
    <w:rsid w:val="0079789F"/>
    <w:rsid w:val="007A62DE"/>
    <w:rsid w:val="007A647D"/>
    <w:rsid w:val="007B02E9"/>
    <w:rsid w:val="007B049B"/>
    <w:rsid w:val="007B12C7"/>
    <w:rsid w:val="007B187E"/>
    <w:rsid w:val="007B2366"/>
    <w:rsid w:val="007B318D"/>
    <w:rsid w:val="007B33D0"/>
    <w:rsid w:val="007B3875"/>
    <w:rsid w:val="007B68D3"/>
    <w:rsid w:val="007C2513"/>
    <w:rsid w:val="007C3988"/>
    <w:rsid w:val="007C5855"/>
    <w:rsid w:val="007D1310"/>
    <w:rsid w:val="007D2109"/>
    <w:rsid w:val="007D3C43"/>
    <w:rsid w:val="007D3D37"/>
    <w:rsid w:val="007D4DFC"/>
    <w:rsid w:val="007D5269"/>
    <w:rsid w:val="007D58DD"/>
    <w:rsid w:val="007E3B45"/>
    <w:rsid w:val="007E3D7E"/>
    <w:rsid w:val="007F4086"/>
    <w:rsid w:val="007F5DED"/>
    <w:rsid w:val="00801745"/>
    <w:rsid w:val="00803174"/>
    <w:rsid w:val="008057FB"/>
    <w:rsid w:val="00810ECE"/>
    <w:rsid w:val="008133A1"/>
    <w:rsid w:val="0081368F"/>
    <w:rsid w:val="008137F8"/>
    <w:rsid w:val="008157C6"/>
    <w:rsid w:val="0082000E"/>
    <w:rsid w:val="00820CC2"/>
    <w:rsid w:val="00823067"/>
    <w:rsid w:val="0082522D"/>
    <w:rsid w:val="00840101"/>
    <w:rsid w:val="00842772"/>
    <w:rsid w:val="00847DD5"/>
    <w:rsid w:val="00862587"/>
    <w:rsid w:val="00863BCE"/>
    <w:rsid w:val="0086684B"/>
    <w:rsid w:val="00867D94"/>
    <w:rsid w:val="0087293B"/>
    <w:rsid w:val="00874426"/>
    <w:rsid w:val="008745D4"/>
    <w:rsid w:val="00875E03"/>
    <w:rsid w:val="00881EDC"/>
    <w:rsid w:val="0088306F"/>
    <w:rsid w:val="0088407A"/>
    <w:rsid w:val="008910D0"/>
    <w:rsid w:val="008946C7"/>
    <w:rsid w:val="0089692D"/>
    <w:rsid w:val="008A147E"/>
    <w:rsid w:val="008B2371"/>
    <w:rsid w:val="008B46B2"/>
    <w:rsid w:val="008C07B4"/>
    <w:rsid w:val="008C0B25"/>
    <w:rsid w:val="008C0EF1"/>
    <w:rsid w:val="008C4A3C"/>
    <w:rsid w:val="008C55AF"/>
    <w:rsid w:val="008D744B"/>
    <w:rsid w:val="008D7A13"/>
    <w:rsid w:val="008E0724"/>
    <w:rsid w:val="008E0C4C"/>
    <w:rsid w:val="008E0D50"/>
    <w:rsid w:val="008E10CA"/>
    <w:rsid w:val="008E11D7"/>
    <w:rsid w:val="008E6141"/>
    <w:rsid w:val="008E7431"/>
    <w:rsid w:val="008F7EAB"/>
    <w:rsid w:val="00902574"/>
    <w:rsid w:val="00906C3B"/>
    <w:rsid w:val="00912335"/>
    <w:rsid w:val="00912CC2"/>
    <w:rsid w:val="0091684B"/>
    <w:rsid w:val="009176BB"/>
    <w:rsid w:val="00921BE4"/>
    <w:rsid w:val="009224AC"/>
    <w:rsid w:val="00925EA2"/>
    <w:rsid w:val="0093280D"/>
    <w:rsid w:val="00932F77"/>
    <w:rsid w:val="0094108A"/>
    <w:rsid w:val="00946EAC"/>
    <w:rsid w:val="00947E1B"/>
    <w:rsid w:val="0095226A"/>
    <w:rsid w:val="00954758"/>
    <w:rsid w:val="00957465"/>
    <w:rsid w:val="00962B13"/>
    <w:rsid w:val="0096300F"/>
    <w:rsid w:val="00966F14"/>
    <w:rsid w:val="009702CF"/>
    <w:rsid w:val="00974B78"/>
    <w:rsid w:val="009757EC"/>
    <w:rsid w:val="00983ECE"/>
    <w:rsid w:val="00983FB6"/>
    <w:rsid w:val="00984D45"/>
    <w:rsid w:val="009930B6"/>
    <w:rsid w:val="00995CDD"/>
    <w:rsid w:val="009962A7"/>
    <w:rsid w:val="00997EE4"/>
    <w:rsid w:val="009A5536"/>
    <w:rsid w:val="009B2924"/>
    <w:rsid w:val="009B4FF5"/>
    <w:rsid w:val="009B7C1C"/>
    <w:rsid w:val="009C24F4"/>
    <w:rsid w:val="009C40B8"/>
    <w:rsid w:val="009C59DE"/>
    <w:rsid w:val="009C6202"/>
    <w:rsid w:val="009C6757"/>
    <w:rsid w:val="009D0C04"/>
    <w:rsid w:val="009D3995"/>
    <w:rsid w:val="009E26C8"/>
    <w:rsid w:val="009E3AD4"/>
    <w:rsid w:val="009E59E7"/>
    <w:rsid w:val="009E653D"/>
    <w:rsid w:val="009F271C"/>
    <w:rsid w:val="009F66C9"/>
    <w:rsid w:val="009F7392"/>
    <w:rsid w:val="00A00EE8"/>
    <w:rsid w:val="00A026E0"/>
    <w:rsid w:val="00A02771"/>
    <w:rsid w:val="00A05F70"/>
    <w:rsid w:val="00A104C0"/>
    <w:rsid w:val="00A110A9"/>
    <w:rsid w:val="00A13B63"/>
    <w:rsid w:val="00A16FFF"/>
    <w:rsid w:val="00A21C8C"/>
    <w:rsid w:val="00A2466F"/>
    <w:rsid w:val="00A275AA"/>
    <w:rsid w:val="00A33AFA"/>
    <w:rsid w:val="00A36710"/>
    <w:rsid w:val="00A37FCF"/>
    <w:rsid w:val="00A4619A"/>
    <w:rsid w:val="00A46A92"/>
    <w:rsid w:val="00A50268"/>
    <w:rsid w:val="00A5357D"/>
    <w:rsid w:val="00A577A7"/>
    <w:rsid w:val="00A613DB"/>
    <w:rsid w:val="00A628C2"/>
    <w:rsid w:val="00A63FEC"/>
    <w:rsid w:val="00A66D22"/>
    <w:rsid w:val="00A723F7"/>
    <w:rsid w:val="00A76DED"/>
    <w:rsid w:val="00A7757F"/>
    <w:rsid w:val="00A77A7E"/>
    <w:rsid w:val="00A841CD"/>
    <w:rsid w:val="00A845F0"/>
    <w:rsid w:val="00A85E2E"/>
    <w:rsid w:val="00A923C8"/>
    <w:rsid w:val="00A940CD"/>
    <w:rsid w:val="00A946A0"/>
    <w:rsid w:val="00A9673D"/>
    <w:rsid w:val="00AA1C5D"/>
    <w:rsid w:val="00AA1CFF"/>
    <w:rsid w:val="00AA4A86"/>
    <w:rsid w:val="00AA515E"/>
    <w:rsid w:val="00AB45DC"/>
    <w:rsid w:val="00AB7097"/>
    <w:rsid w:val="00AC2489"/>
    <w:rsid w:val="00AC28E1"/>
    <w:rsid w:val="00AC3670"/>
    <w:rsid w:val="00AC5245"/>
    <w:rsid w:val="00AC6A05"/>
    <w:rsid w:val="00AD0CD1"/>
    <w:rsid w:val="00AD14B2"/>
    <w:rsid w:val="00AD2921"/>
    <w:rsid w:val="00AD5584"/>
    <w:rsid w:val="00AD66A3"/>
    <w:rsid w:val="00AE2C3A"/>
    <w:rsid w:val="00AE6D39"/>
    <w:rsid w:val="00B029B0"/>
    <w:rsid w:val="00B0535A"/>
    <w:rsid w:val="00B233C5"/>
    <w:rsid w:val="00B2509B"/>
    <w:rsid w:val="00B26A12"/>
    <w:rsid w:val="00B32228"/>
    <w:rsid w:val="00B33605"/>
    <w:rsid w:val="00B3423E"/>
    <w:rsid w:val="00B36B88"/>
    <w:rsid w:val="00B43073"/>
    <w:rsid w:val="00B43B56"/>
    <w:rsid w:val="00B43EDB"/>
    <w:rsid w:val="00B443F3"/>
    <w:rsid w:val="00B44980"/>
    <w:rsid w:val="00B47045"/>
    <w:rsid w:val="00B50E0D"/>
    <w:rsid w:val="00B56955"/>
    <w:rsid w:val="00B57EEB"/>
    <w:rsid w:val="00B649BC"/>
    <w:rsid w:val="00B67697"/>
    <w:rsid w:val="00B70759"/>
    <w:rsid w:val="00B750D0"/>
    <w:rsid w:val="00B76822"/>
    <w:rsid w:val="00B777F7"/>
    <w:rsid w:val="00B84026"/>
    <w:rsid w:val="00B848C3"/>
    <w:rsid w:val="00B906BF"/>
    <w:rsid w:val="00B948EF"/>
    <w:rsid w:val="00B95AC2"/>
    <w:rsid w:val="00B9752D"/>
    <w:rsid w:val="00BA29A1"/>
    <w:rsid w:val="00BA3854"/>
    <w:rsid w:val="00BB2DDC"/>
    <w:rsid w:val="00BC0920"/>
    <w:rsid w:val="00BC12C9"/>
    <w:rsid w:val="00BC3230"/>
    <w:rsid w:val="00BC3236"/>
    <w:rsid w:val="00BC6D43"/>
    <w:rsid w:val="00BD165B"/>
    <w:rsid w:val="00BD179F"/>
    <w:rsid w:val="00BD6849"/>
    <w:rsid w:val="00BE2D02"/>
    <w:rsid w:val="00BF12B3"/>
    <w:rsid w:val="00BF4FE3"/>
    <w:rsid w:val="00BF78D3"/>
    <w:rsid w:val="00C04471"/>
    <w:rsid w:val="00C04A82"/>
    <w:rsid w:val="00C06490"/>
    <w:rsid w:val="00C06DF0"/>
    <w:rsid w:val="00C074B4"/>
    <w:rsid w:val="00C10885"/>
    <w:rsid w:val="00C13338"/>
    <w:rsid w:val="00C15955"/>
    <w:rsid w:val="00C16A73"/>
    <w:rsid w:val="00C16FFC"/>
    <w:rsid w:val="00C17590"/>
    <w:rsid w:val="00C20482"/>
    <w:rsid w:val="00C216A2"/>
    <w:rsid w:val="00C2587D"/>
    <w:rsid w:val="00C2623C"/>
    <w:rsid w:val="00C3073D"/>
    <w:rsid w:val="00C3499A"/>
    <w:rsid w:val="00C373B1"/>
    <w:rsid w:val="00C42909"/>
    <w:rsid w:val="00C448F3"/>
    <w:rsid w:val="00C45804"/>
    <w:rsid w:val="00C54D9A"/>
    <w:rsid w:val="00C56F55"/>
    <w:rsid w:val="00C60D4F"/>
    <w:rsid w:val="00C61A2B"/>
    <w:rsid w:val="00C639DB"/>
    <w:rsid w:val="00C6400C"/>
    <w:rsid w:val="00C67DC5"/>
    <w:rsid w:val="00C72874"/>
    <w:rsid w:val="00C73E37"/>
    <w:rsid w:val="00C74078"/>
    <w:rsid w:val="00C76246"/>
    <w:rsid w:val="00C814C9"/>
    <w:rsid w:val="00C816B7"/>
    <w:rsid w:val="00C82780"/>
    <w:rsid w:val="00C82B31"/>
    <w:rsid w:val="00C82DDA"/>
    <w:rsid w:val="00C879BE"/>
    <w:rsid w:val="00C92119"/>
    <w:rsid w:val="00C94220"/>
    <w:rsid w:val="00C95D21"/>
    <w:rsid w:val="00CA0CFB"/>
    <w:rsid w:val="00CA3E99"/>
    <w:rsid w:val="00CA57A5"/>
    <w:rsid w:val="00CA7910"/>
    <w:rsid w:val="00CB0689"/>
    <w:rsid w:val="00CB235A"/>
    <w:rsid w:val="00CB3046"/>
    <w:rsid w:val="00CB5AC5"/>
    <w:rsid w:val="00CB60C0"/>
    <w:rsid w:val="00CC153D"/>
    <w:rsid w:val="00CC5FAF"/>
    <w:rsid w:val="00CD2E65"/>
    <w:rsid w:val="00CD6E9B"/>
    <w:rsid w:val="00CE1DDF"/>
    <w:rsid w:val="00CF0CBD"/>
    <w:rsid w:val="00CF45B0"/>
    <w:rsid w:val="00CF564A"/>
    <w:rsid w:val="00CF5FA5"/>
    <w:rsid w:val="00CF7942"/>
    <w:rsid w:val="00D04725"/>
    <w:rsid w:val="00D0664B"/>
    <w:rsid w:val="00D070EA"/>
    <w:rsid w:val="00D10AB3"/>
    <w:rsid w:val="00D111C9"/>
    <w:rsid w:val="00D121C0"/>
    <w:rsid w:val="00D13DE0"/>
    <w:rsid w:val="00D14FFD"/>
    <w:rsid w:val="00D1650F"/>
    <w:rsid w:val="00D17B9C"/>
    <w:rsid w:val="00D20E77"/>
    <w:rsid w:val="00D22580"/>
    <w:rsid w:val="00D26468"/>
    <w:rsid w:val="00D311D0"/>
    <w:rsid w:val="00D33777"/>
    <w:rsid w:val="00D40294"/>
    <w:rsid w:val="00D4084E"/>
    <w:rsid w:val="00D4489F"/>
    <w:rsid w:val="00D45830"/>
    <w:rsid w:val="00D50FFC"/>
    <w:rsid w:val="00D53A92"/>
    <w:rsid w:val="00D566C2"/>
    <w:rsid w:val="00D6092B"/>
    <w:rsid w:val="00D651B3"/>
    <w:rsid w:val="00D65F7D"/>
    <w:rsid w:val="00D74996"/>
    <w:rsid w:val="00D76BF9"/>
    <w:rsid w:val="00D83286"/>
    <w:rsid w:val="00D85F19"/>
    <w:rsid w:val="00D86818"/>
    <w:rsid w:val="00D87F2B"/>
    <w:rsid w:val="00D91058"/>
    <w:rsid w:val="00D917A5"/>
    <w:rsid w:val="00D92667"/>
    <w:rsid w:val="00D9274A"/>
    <w:rsid w:val="00DA14BE"/>
    <w:rsid w:val="00DA7FDB"/>
    <w:rsid w:val="00DB01A1"/>
    <w:rsid w:val="00DB2F66"/>
    <w:rsid w:val="00DB48AD"/>
    <w:rsid w:val="00DC3D29"/>
    <w:rsid w:val="00DC4D13"/>
    <w:rsid w:val="00DC54D5"/>
    <w:rsid w:val="00DC7331"/>
    <w:rsid w:val="00DD001E"/>
    <w:rsid w:val="00DD1271"/>
    <w:rsid w:val="00DD3C77"/>
    <w:rsid w:val="00DF38D6"/>
    <w:rsid w:val="00DF49F2"/>
    <w:rsid w:val="00DF4EB8"/>
    <w:rsid w:val="00E0033D"/>
    <w:rsid w:val="00E0781E"/>
    <w:rsid w:val="00E15D60"/>
    <w:rsid w:val="00E16743"/>
    <w:rsid w:val="00E174FB"/>
    <w:rsid w:val="00E33243"/>
    <w:rsid w:val="00E33A47"/>
    <w:rsid w:val="00E35C3F"/>
    <w:rsid w:val="00E42C16"/>
    <w:rsid w:val="00E43B8A"/>
    <w:rsid w:val="00E44739"/>
    <w:rsid w:val="00E45609"/>
    <w:rsid w:val="00E52500"/>
    <w:rsid w:val="00E66BAC"/>
    <w:rsid w:val="00E67DA5"/>
    <w:rsid w:val="00E7129A"/>
    <w:rsid w:val="00E8406C"/>
    <w:rsid w:val="00E87A6B"/>
    <w:rsid w:val="00E94B72"/>
    <w:rsid w:val="00E952D0"/>
    <w:rsid w:val="00E96021"/>
    <w:rsid w:val="00EA26E8"/>
    <w:rsid w:val="00EA306E"/>
    <w:rsid w:val="00EA5D15"/>
    <w:rsid w:val="00EB254A"/>
    <w:rsid w:val="00EB458B"/>
    <w:rsid w:val="00EB7F5A"/>
    <w:rsid w:val="00EC374B"/>
    <w:rsid w:val="00EC4649"/>
    <w:rsid w:val="00EC4868"/>
    <w:rsid w:val="00EC54C4"/>
    <w:rsid w:val="00ED1EAD"/>
    <w:rsid w:val="00ED2845"/>
    <w:rsid w:val="00ED6769"/>
    <w:rsid w:val="00ED72FE"/>
    <w:rsid w:val="00EE649C"/>
    <w:rsid w:val="00EF31A0"/>
    <w:rsid w:val="00EF41AE"/>
    <w:rsid w:val="00F0260C"/>
    <w:rsid w:val="00F06DF7"/>
    <w:rsid w:val="00F10DC4"/>
    <w:rsid w:val="00F16440"/>
    <w:rsid w:val="00F16FE2"/>
    <w:rsid w:val="00F24579"/>
    <w:rsid w:val="00F24648"/>
    <w:rsid w:val="00F26FA3"/>
    <w:rsid w:val="00F300CD"/>
    <w:rsid w:val="00F32659"/>
    <w:rsid w:val="00F335E9"/>
    <w:rsid w:val="00F40638"/>
    <w:rsid w:val="00F422ED"/>
    <w:rsid w:val="00F476D4"/>
    <w:rsid w:val="00F509B2"/>
    <w:rsid w:val="00F50FB3"/>
    <w:rsid w:val="00F514B2"/>
    <w:rsid w:val="00F5622D"/>
    <w:rsid w:val="00F63365"/>
    <w:rsid w:val="00F66015"/>
    <w:rsid w:val="00F66478"/>
    <w:rsid w:val="00F74582"/>
    <w:rsid w:val="00F769C0"/>
    <w:rsid w:val="00F8522A"/>
    <w:rsid w:val="00F86291"/>
    <w:rsid w:val="00F93C80"/>
    <w:rsid w:val="00F9612C"/>
    <w:rsid w:val="00F974B2"/>
    <w:rsid w:val="00FB0165"/>
    <w:rsid w:val="00FB2ABF"/>
    <w:rsid w:val="00FB2E6C"/>
    <w:rsid w:val="00FB729A"/>
    <w:rsid w:val="00FC2FF7"/>
    <w:rsid w:val="00FC446F"/>
    <w:rsid w:val="00FD1D04"/>
    <w:rsid w:val="00FD248E"/>
    <w:rsid w:val="00FD6202"/>
    <w:rsid w:val="00FE1C63"/>
    <w:rsid w:val="00FE5948"/>
    <w:rsid w:val="00FE64D4"/>
    <w:rsid w:val="00FF0E25"/>
    <w:rsid w:val="00FF4FFE"/>
    <w:rsid w:val="00FF72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5891"/>
  <w15:chartTrackingRefBased/>
  <w15:docId w15:val="{0CAB50C1-F97B-4E99-8E27-000FFCC3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68"/>
    <w:pPr>
      <w:spacing w:after="160" w:line="259" w:lineRule="auto"/>
    </w:pPr>
    <w:rPr>
      <w:sz w:val="22"/>
      <w:szCs w:val="22"/>
    </w:rPr>
  </w:style>
  <w:style w:type="paragraph" w:styleId="Heading3">
    <w:name w:val="heading 3"/>
    <w:basedOn w:val="Normal"/>
    <w:next w:val="Normal"/>
    <w:link w:val="Heading3Char"/>
    <w:uiPriority w:val="9"/>
    <w:unhideWhenUsed/>
    <w:qFormat/>
    <w:rsid w:val="003F13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DO">
    <w:name w:val="TO DO"/>
    <w:uiPriority w:val="99"/>
    <w:rsid w:val="003E046C"/>
    <w:pPr>
      <w:numPr>
        <w:numId w:val="1"/>
      </w:numPr>
    </w:pPr>
  </w:style>
  <w:style w:type="character" w:customStyle="1" w:styleId="Heading3Char">
    <w:name w:val="Heading 3 Char"/>
    <w:basedOn w:val="DefaultParagraphFont"/>
    <w:link w:val="Heading3"/>
    <w:uiPriority w:val="9"/>
    <w:rsid w:val="003F136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697A67"/>
    <w:rPr>
      <w:color w:val="0563C1" w:themeColor="hyperlink"/>
      <w:u w:val="single"/>
    </w:rPr>
  </w:style>
  <w:style w:type="character" w:styleId="UnresolvedMention">
    <w:name w:val="Unresolved Mention"/>
    <w:basedOn w:val="DefaultParagraphFont"/>
    <w:uiPriority w:val="99"/>
    <w:semiHidden/>
    <w:unhideWhenUsed/>
    <w:rsid w:val="00697A67"/>
    <w:rPr>
      <w:color w:val="605E5C"/>
      <w:shd w:val="clear" w:color="auto" w:fill="E1DFDD"/>
    </w:rPr>
  </w:style>
  <w:style w:type="paragraph" w:styleId="NormalWeb">
    <w:name w:val="Normal (Web)"/>
    <w:basedOn w:val="Normal"/>
    <w:uiPriority w:val="99"/>
    <w:unhideWhenUsed/>
    <w:rsid w:val="0076389F"/>
    <w:pPr>
      <w:spacing w:before="100" w:beforeAutospacing="1" w:after="100" w:afterAutospacing="1" w:line="240" w:lineRule="auto"/>
    </w:pPr>
    <w:rPr>
      <w:rFonts w:ascii="Calibri" w:hAnsi="Calibri" w:cs="Calibri"/>
    </w:rPr>
  </w:style>
  <w:style w:type="character" w:styleId="FollowedHyperlink">
    <w:name w:val="FollowedHyperlink"/>
    <w:basedOn w:val="DefaultParagraphFont"/>
    <w:uiPriority w:val="99"/>
    <w:semiHidden/>
    <w:unhideWhenUsed/>
    <w:rsid w:val="00CF5FA5"/>
    <w:rPr>
      <w:color w:val="954F72" w:themeColor="followedHyperlink"/>
      <w:u w:val="single"/>
    </w:rPr>
  </w:style>
  <w:style w:type="paragraph" w:customStyle="1" w:styleId="paragraph">
    <w:name w:val="paragraph"/>
    <w:basedOn w:val="Normal"/>
    <w:rsid w:val="00D6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5F7D"/>
  </w:style>
  <w:style w:type="character" w:customStyle="1" w:styleId="eop">
    <w:name w:val="eop"/>
    <w:basedOn w:val="DefaultParagraphFont"/>
    <w:rsid w:val="00D65F7D"/>
  </w:style>
  <w:style w:type="character" w:customStyle="1" w:styleId="pagebreaktextspan">
    <w:name w:val="pagebreaktextspan"/>
    <w:basedOn w:val="DefaultParagraphFont"/>
    <w:rsid w:val="00D65F7D"/>
  </w:style>
  <w:style w:type="paragraph" w:styleId="Revision">
    <w:name w:val="Revision"/>
    <w:hidden/>
    <w:uiPriority w:val="99"/>
    <w:semiHidden/>
    <w:rsid w:val="00C879BE"/>
    <w:rPr>
      <w:sz w:val="22"/>
      <w:szCs w:val="22"/>
    </w:rPr>
  </w:style>
  <w:style w:type="character" w:styleId="CommentReference">
    <w:name w:val="annotation reference"/>
    <w:basedOn w:val="DefaultParagraphFont"/>
    <w:uiPriority w:val="99"/>
    <w:semiHidden/>
    <w:unhideWhenUsed/>
    <w:rsid w:val="004627A7"/>
    <w:rPr>
      <w:sz w:val="16"/>
      <w:szCs w:val="16"/>
    </w:rPr>
  </w:style>
  <w:style w:type="paragraph" w:styleId="CommentText">
    <w:name w:val="annotation text"/>
    <w:basedOn w:val="Normal"/>
    <w:link w:val="CommentTextChar"/>
    <w:uiPriority w:val="99"/>
    <w:unhideWhenUsed/>
    <w:rsid w:val="004627A7"/>
    <w:pPr>
      <w:spacing w:line="240" w:lineRule="auto"/>
    </w:pPr>
    <w:rPr>
      <w:sz w:val="20"/>
      <w:szCs w:val="20"/>
    </w:rPr>
  </w:style>
  <w:style w:type="character" w:customStyle="1" w:styleId="CommentTextChar">
    <w:name w:val="Comment Text Char"/>
    <w:basedOn w:val="DefaultParagraphFont"/>
    <w:link w:val="CommentText"/>
    <w:uiPriority w:val="99"/>
    <w:rsid w:val="004627A7"/>
    <w:rPr>
      <w:sz w:val="20"/>
      <w:szCs w:val="20"/>
    </w:rPr>
  </w:style>
  <w:style w:type="paragraph" w:styleId="CommentSubject">
    <w:name w:val="annotation subject"/>
    <w:basedOn w:val="CommentText"/>
    <w:next w:val="CommentText"/>
    <w:link w:val="CommentSubjectChar"/>
    <w:uiPriority w:val="99"/>
    <w:semiHidden/>
    <w:unhideWhenUsed/>
    <w:rsid w:val="009A5536"/>
    <w:rPr>
      <w:b/>
      <w:bCs/>
    </w:rPr>
  </w:style>
  <w:style w:type="character" w:customStyle="1" w:styleId="CommentSubjectChar">
    <w:name w:val="Comment Subject Char"/>
    <w:basedOn w:val="CommentTextChar"/>
    <w:link w:val="CommentSubject"/>
    <w:uiPriority w:val="99"/>
    <w:semiHidden/>
    <w:rsid w:val="009A5536"/>
    <w:rPr>
      <w:b/>
      <w:bCs/>
      <w:sz w:val="20"/>
      <w:szCs w:val="20"/>
    </w:rPr>
  </w:style>
  <w:style w:type="paragraph" w:styleId="Header">
    <w:name w:val="header"/>
    <w:basedOn w:val="Normal"/>
    <w:link w:val="HeaderChar"/>
    <w:uiPriority w:val="99"/>
    <w:unhideWhenUsed/>
    <w:rsid w:val="00D17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9C"/>
    <w:rPr>
      <w:sz w:val="22"/>
      <w:szCs w:val="22"/>
    </w:rPr>
  </w:style>
  <w:style w:type="paragraph" w:styleId="Footer">
    <w:name w:val="footer"/>
    <w:basedOn w:val="Normal"/>
    <w:link w:val="FooterChar"/>
    <w:uiPriority w:val="99"/>
    <w:unhideWhenUsed/>
    <w:rsid w:val="00D17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9C"/>
    <w:rPr>
      <w:sz w:val="22"/>
      <w:szCs w:val="22"/>
    </w:rPr>
  </w:style>
  <w:style w:type="character" w:styleId="LineNumber">
    <w:name w:val="line number"/>
    <w:basedOn w:val="DefaultParagraphFont"/>
    <w:uiPriority w:val="99"/>
    <w:semiHidden/>
    <w:unhideWhenUsed/>
    <w:rsid w:val="00EC4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39307">
      <w:bodyDiv w:val="1"/>
      <w:marLeft w:val="0"/>
      <w:marRight w:val="0"/>
      <w:marTop w:val="0"/>
      <w:marBottom w:val="0"/>
      <w:divBdr>
        <w:top w:val="none" w:sz="0" w:space="0" w:color="auto"/>
        <w:left w:val="none" w:sz="0" w:space="0" w:color="auto"/>
        <w:bottom w:val="none" w:sz="0" w:space="0" w:color="auto"/>
        <w:right w:val="none" w:sz="0" w:space="0" w:color="auto"/>
      </w:divBdr>
    </w:div>
    <w:div w:id="597641968">
      <w:bodyDiv w:val="1"/>
      <w:marLeft w:val="0"/>
      <w:marRight w:val="0"/>
      <w:marTop w:val="0"/>
      <w:marBottom w:val="0"/>
      <w:divBdr>
        <w:top w:val="none" w:sz="0" w:space="0" w:color="auto"/>
        <w:left w:val="none" w:sz="0" w:space="0" w:color="auto"/>
        <w:bottom w:val="none" w:sz="0" w:space="0" w:color="auto"/>
        <w:right w:val="none" w:sz="0" w:space="0" w:color="auto"/>
      </w:divBdr>
    </w:div>
    <w:div w:id="2098557001">
      <w:bodyDiv w:val="1"/>
      <w:marLeft w:val="0"/>
      <w:marRight w:val="0"/>
      <w:marTop w:val="0"/>
      <w:marBottom w:val="0"/>
      <w:divBdr>
        <w:top w:val="none" w:sz="0" w:space="0" w:color="auto"/>
        <w:left w:val="none" w:sz="0" w:space="0" w:color="auto"/>
        <w:bottom w:val="none" w:sz="0" w:space="0" w:color="auto"/>
        <w:right w:val="none" w:sz="0" w:space="0" w:color="auto"/>
      </w:divBdr>
      <w:divsChild>
        <w:div w:id="65764484">
          <w:marLeft w:val="0"/>
          <w:marRight w:val="0"/>
          <w:marTop w:val="0"/>
          <w:marBottom w:val="0"/>
          <w:divBdr>
            <w:top w:val="none" w:sz="0" w:space="0" w:color="auto"/>
            <w:left w:val="none" w:sz="0" w:space="0" w:color="auto"/>
            <w:bottom w:val="none" w:sz="0" w:space="0" w:color="auto"/>
            <w:right w:val="none" w:sz="0" w:space="0" w:color="auto"/>
          </w:divBdr>
        </w:div>
        <w:div w:id="74134952">
          <w:marLeft w:val="0"/>
          <w:marRight w:val="0"/>
          <w:marTop w:val="0"/>
          <w:marBottom w:val="0"/>
          <w:divBdr>
            <w:top w:val="none" w:sz="0" w:space="0" w:color="auto"/>
            <w:left w:val="none" w:sz="0" w:space="0" w:color="auto"/>
            <w:bottom w:val="none" w:sz="0" w:space="0" w:color="auto"/>
            <w:right w:val="none" w:sz="0" w:space="0" w:color="auto"/>
          </w:divBdr>
        </w:div>
        <w:div w:id="118227902">
          <w:marLeft w:val="0"/>
          <w:marRight w:val="0"/>
          <w:marTop w:val="0"/>
          <w:marBottom w:val="0"/>
          <w:divBdr>
            <w:top w:val="none" w:sz="0" w:space="0" w:color="auto"/>
            <w:left w:val="none" w:sz="0" w:space="0" w:color="auto"/>
            <w:bottom w:val="none" w:sz="0" w:space="0" w:color="auto"/>
            <w:right w:val="none" w:sz="0" w:space="0" w:color="auto"/>
          </w:divBdr>
        </w:div>
        <w:div w:id="189071569">
          <w:marLeft w:val="0"/>
          <w:marRight w:val="0"/>
          <w:marTop w:val="0"/>
          <w:marBottom w:val="0"/>
          <w:divBdr>
            <w:top w:val="none" w:sz="0" w:space="0" w:color="auto"/>
            <w:left w:val="none" w:sz="0" w:space="0" w:color="auto"/>
            <w:bottom w:val="none" w:sz="0" w:space="0" w:color="auto"/>
            <w:right w:val="none" w:sz="0" w:space="0" w:color="auto"/>
          </w:divBdr>
        </w:div>
        <w:div w:id="236021002">
          <w:marLeft w:val="0"/>
          <w:marRight w:val="0"/>
          <w:marTop w:val="0"/>
          <w:marBottom w:val="0"/>
          <w:divBdr>
            <w:top w:val="none" w:sz="0" w:space="0" w:color="auto"/>
            <w:left w:val="none" w:sz="0" w:space="0" w:color="auto"/>
            <w:bottom w:val="none" w:sz="0" w:space="0" w:color="auto"/>
            <w:right w:val="none" w:sz="0" w:space="0" w:color="auto"/>
          </w:divBdr>
        </w:div>
        <w:div w:id="306931918">
          <w:marLeft w:val="0"/>
          <w:marRight w:val="0"/>
          <w:marTop w:val="0"/>
          <w:marBottom w:val="0"/>
          <w:divBdr>
            <w:top w:val="none" w:sz="0" w:space="0" w:color="auto"/>
            <w:left w:val="none" w:sz="0" w:space="0" w:color="auto"/>
            <w:bottom w:val="none" w:sz="0" w:space="0" w:color="auto"/>
            <w:right w:val="none" w:sz="0" w:space="0" w:color="auto"/>
          </w:divBdr>
        </w:div>
        <w:div w:id="318385688">
          <w:marLeft w:val="0"/>
          <w:marRight w:val="0"/>
          <w:marTop w:val="0"/>
          <w:marBottom w:val="0"/>
          <w:divBdr>
            <w:top w:val="none" w:sz="0" w:space="0" w:color="auto"/>
            <w:left w:val="none" w:sz="0" w:space="0" w:color="auto"/>
            <w:bottom w:val="none" w:sz="0" w:space="0" w:color="auto"/>
            <w:right w:val="none" w:sz="0" w:space="0" w:color="auto"/>
          </w:divBdr>
        </w:div>
        <w:div w:id="340277747">
          <w:marLeft w:val="0"/>
          <w:marRight w:val="0"/>
          <w:marTop w:val="0"/>
          <w:marBottom w:val="0"/>
          <w:divBdr>
            <w:top w:val="none" w:sz="0" w:space="0" w:color="auto"/>
            <w:left w:val="none" w:sz="0" w:space="0" w:color="auto"/>
            <w:bottom w:val="none" w:sz="0" w:space="0" w:color="auto"/>
            <w:right w:val="none" w:sz="0" w:space="0" w:color="auto"/>
          </w:divBdr>
        </w:div>
        <w:div w:id="348413107">
          <w:marLeft w:val="0"/>
          <w:marRight w:val="0"/>
          <w:marTop w:val="0"/>
          <w:marBottom w:val="0"/>
          <w:divBdr>
            <w:top w:val="none" w:sz="0" w:space="0" w:color="auto"/>
            <w:left w:val="none" w:sz="0" w:space="0" w:color="auto"/>
            <w:bottom w:val="none" w:sz="0" w:space="0" w:color="auto"/>
            <w:right w:val="none" w:sz="0" w:space="0" w:color="auto"/>
          </w:divBdr>
        </w:div>
        <w:div w:id="367486063">
          <w:marLeft w:val="0"/>
          <w:marRight w:val="0"/>
          <w:marTop w:val="0"/>
          <w:marBottom w:val="0"/>
          <w:divBdr>
            <w:top w:val="none" w:sz="0" w:space="0" w:color="auto"/>
            <w:left w:val="none" w:sz="0" w:space="0" w:color="auto"/>
            <w:bottom w:val="none" w:sz="0" w:space="0" w:color="auto"/>
            <w:right w:val="none" w:sz="0" w:space="0" w:color="auto"/>
          </w:divBdr>
        </w:div>
        <w:div w:id="382826556">
          <w:marLeft w:val="0"/>
          <w:marRight w:val="0"/>
          <w:marTop w:val="0"/>
          <w:marBottom w:val="0"/>
          <w:divBdr>
            <w:top w:val="none" w:sz="0" w:space="0" w:color="auto"/>
            <w:left w:val="none" w:sz="0" w:space="0" w:color="auto"/>
            <w:bottom w:val="none" w:sz="0" w:space="0" w:color="auto"/>
            <w:right w:val="none" w:sz="0" w:space="0" w:color="auto"/>
          </w:divBdr>
        </w:div>
        <w:div w:id="418449220">
          <w:marLeft w:val="0"/>
          <w:marRight w:val="0"/>
          <w:marTop w:val="0"/>
          <w:marBottom w:val="0"/>
          <w:divBdr>
            <w:top w:val="none" w:sz="0" w:space="0" w:color="auto"/>
            <w:left w:val="none" w:sz="0" w:space="0" w:color="auto"/>
            <w:bottom w:val="none" w:sz="0" w:space="0" w:color="auto"/>
            <w:right w:val="none" w:sz="0" w:space="0" w:color="auto"/>
          </w:divBdr>
        </w:div>
        <w:div w:id="422266005">
          <w:marLeft w:val="0"/>
          <w:marRight w:val="0"/>
          <w:marTop w:val="0"/>
          <w:marBottom w:val="0"/>
          <w:divBdr>
            <w:top w:val="none" w:sz="0" w:space="0" w:color="auto"/>
            <w:left w:val="none" w:sz="0" w:space="0" w:color="auto"/>
            <w:bottom w:val="none" w:sz="0" w:space="0" w:color="auto"/>
            <w:right w:val="none" w:sz="0" w:space="0" w:color="auto"/>
          </w:divBdr>
        </w:div>
        <w:div w:id="478613043">
          <w:marLeft w:val="0"/>
          <w:marRight w:val="0"/>
          <w:marTop w:val="0"/>
          <w:marBottom w:val="0"/>
          <w:divBdr>
            <w:top w:val="none" w:sz="0" w:space="0" w:color="auto"/>
            <w:left w:val="none" w:sz="0" w:space="0" w:color="auto"/>
            <w:bottom w:val="none" w:sz="0" w:space="0" w:color="auto"/>
            <w:right w:val="none" w:sz="0" w:space="0" w:color="auto"/>
          </w:divBdr>
        </w:div>
        <w:div w:id="505245636">
          <w:marLeft w:val="0"/>
          <w:marRight w:val="0"/>
          <w:marTop w:val="0"/>
          <w:marBottom w:val="0"/>
          <w:divBdr>
            <w:top w:val="none" w:sz="0" w:space="0" w:color="auto"/>
            <w:left w:val="none" w:sz="0" w:space="0" w:color="auto"/>
            <w:bottom w:val="none" w:sz="0" w:space="0" w:color="auto"/>
            <w:right w:val="none" w:sz="0" w:space="0" w:color="auto"/>
          </w:divBdr>
        </w:div>
        <w:div w:id="566456119">
          <w:marLeft w:val="0"/>
          <w:marRight w:val="0"/>
          <w:marTop w:val="0"/>
          <w:marBottom w:val="0"/>
          <w:divBdr>
            <w:top w:val="none" w:sz="0" w:space="0" w:color="auto"/>
            <w:left w:val="none" w:sz="0" w:space="0" w:color="auto"/>
            <w:bottom w:val="none" w:sz="0" w:space="0" w:color="auto"/>
            <w:right w:val="none" w:sz="0" w:space="0" w:color="auto"/>
          </w:divBdr>
        </w:div>
        <w:div w:id="583415012">
          <w:marLeft w:val="0"/>
          <w:marRight w:val="0"/>
          <w:marTop w:val="0"/>
          <w:marBottom w:val="0"/>
          <w:divBdr>
            <w:top w:val="none" w:sz="0" w:space="0" w:color="auto"/>
            <w:left w:val="none" w:sz="0" w:space="0" w:color="auto"/>
            <w:bottom w:val="none" w:sz="0" w:space="0" w:color="auto"/>
            <w:right w:val="none" w:sz="0" w:space="0" w:color="auto"/>
          </w:divBdr>
        </w:div>
        <w:div w:id="700472500">
          <w:marLeft w:val="0"/>
          <w:marRight w:val="0"/>
          <w:marTop w:val="0"/>
          <w:marBottom w:val="0"/>
          <w:divBdr>
            <w:top w:val="none" w:sz="0" w:space="0" w:color="auto"/>
            <w:left w:val="none" w:sz="0" w:space="0" w:color="auto"/>
            <w:bottom w:val="none" w:sz="0" w:space="0" w:color="auto"/>
            <w:right w:val="none" w:sz="0" w:space="0" w:color="auto"/>
          </w:divBdr>
        </w:div>
        <w:div w:id="749693747">
          <w:marLeft w:val="0"/>
          <w:marRight w:val="0"/>
          <w:marTop w:val="0"/>
          <w:marBottom w:val="0"/>
          <w:divBdr>
            <w:top w:val="none" w:sz="0" w:space="0" w:color="auto"/>
            <w:left w:val="none" w:sz="0" w:space="0" w:color="auto"/>
            <w:bottom w:val="none" w:sz="0" w:space="0" w:color="auto"/>
            <w:right w:val="none" w:sz="0" w:space="0" w:color="auto"/>
          </w:divBdr>
        </w:div>
        <w:div w:id="825895094">
          <w:marLeft w:val="0"/>
          <w:marRight w:val="0"/>
          <w:marTop w:val="0"/>
          <w:marBottom w:val="0"/>
          <w:divBdr>
            <w:top w:val="none" w:sz="0" w:space="0" w:color="auto"/>
            <w:left w:val="none" w:sz="0" w:space="0" w:color="auto"/>
            <w:bottom w:val="none" w:sz="0" w:space="0" w:color="auto"/>
            <w:right w:val="none" w:sz="0" w:space="0" w:color="auto"/>
          </w:divBdr>
        </w:div>
        <w:div w:id="849829014">
          <w:marLeft w:val="0"/>
          <w:marRight w:val="0"/>
          <w:marTop w:val="0"/>
          <w:marBottom w:val="0"/>
          <w:divBdr>
            <w:top w:val="none" w:sz="0" w:space="0" w:color="auto"/>
            <w:left w:val="none" w:sz="0" w:space="0" w:color="auto"/>
            <w:bottom w:val="none" w:sz="0" w:space="0" w:color="auto"/>
            <w:right w:val="none" w:sz="0" w:space="0" w:color="auto"/>
          </w:divBdr>
        </w:div>
        <w:div w:id="941301513">
          <w:marLeft w:val="0"/>
          <w:marRight w:val="0"/>
          <w:marTop w:val="0"/>
          <w:marBottom w:val="0"/>
          <w:divBdr>
            <w:top w:val="none" w:sz="0" w:space="0" w:color="auto"/>
            <w:left w:val="none" w:sz="0" w:space="0" w:color="auto"/>
            <w:bottom w:val="none" w:sz="0" w:space="0" w:color="auto"/>
            <w:right w:val="none" w:sz="0" w:space="0" w:color="auto"/>
          </w:divBdr>
        </w:div>
        <w:div w:id="978265444">
          <w:marLeft w:val="0"/>
          <w:marRight w:val="0"/>
          <w:marTop w:val="0"/>
          <w:marBottom w:val="0"/>
          <w:divBdr>
            <w:top w:val="none" w:sz="0" w:space="0" w:color="auto"/>
            <w:left w:val="none" w:sz="0" w:space="0" w:color="auto"/>
            <w:bottom w:val="none" w:sz="0" w:space="0" w:color="auto"/>
            <w:right w:val="none" w:sz="0" w:space="0" w:color="auto"/>
          </w:divBdr>
        </w:div>
        <w:div w:id="982152637">
          <w:marLeft w:val="0"/>
          <w:marRight w:val="0"/>
          <w:marTop w:val="0"/>
          <w:marBottom w:val="0"/>
          <w:divBdr>
            <w:top w:val="none" w:sz="0" w:space="0" w:color="auto"/>
            <w:left w:val="none" w:sz="0" w:space="0" w:color="auto"/>
            <w:bottom w:val="none" w:sz="0" w:space="0" w:color="auto"/>
            <w:right w:val="none" w:sz="0" w:space="0" w:color="auto"/>
          </w:divBdr>
        </w:div>
        <w:div w:id="1027831591">
          <w:marLeft w:val="0"/>
          <w:marRight w:val="0"/>
          <w:marTop w:val="0"/>
          <w:marBottom w:val="0"/>
          <w:divBdr>
            <w:top w:val="none" w:sz="0" w:space="0" w:color="auto"/>
            <w:left w:val="none" w:sz="0" w:space="0" w:color="auto"/>
            <w:bottom w:val="none" w:sz="0" w:space="0" w:color="auto"/>
            <w:right w:val="none" w:sz="0" w:space="0" w:color="auto"/>
          </w:divBdr>
        </w:div>
        <w:div w:id="1032921736">
          <w:marLeft w:val="0"/>
          <w:marRight w:val="0"/>
          <w:marTop w:val="0"/>
          <w:marBottom w:val="0"/>
          <w:divBdr>
            <w:top w:val="none" w:sz="0" w:space="0" w:color="auto"/>
            <w:left w:val="none" w:sz="0" w:space="0" w:color="auto"/>
            <w:bottom w:val="none" w:sz="0" w:space="0" w:color="auto"/>
            <w:right w:val="none" w:sz="0" w:space="0" w:color="auto"/>
          </w:divBdr>
        </w:div>
        <w:div w:id="1070615699">
          <w:marLeft w:val="0"/>
          <w:marRight w:val="0"/>
          <w:marTop w:val="0"/>
          <w:marBottom w:val="0"/>
          <w:divBdr>
            <w:top w:val="none" w:sz="0" w:space="0" w:color="auto"/>
            <w:left w:val="none" w:sz="0" w:space="0" w:color="auto"/>
            <w:bottom w:val="none" w:sz="0" w:space="0" w:color="auto"/>
            <w:right w:val="none" w:sz="0" w:space="0" w:color="auto"/>
          </w:divBdr>
        </w:div>
        <w:div w:id="1149976118">
          <w:marLeft w:val="0"/>
          <w:marRight w:val="0"/>
          <w:marTop w:val="0"/>
          <w:marBottom w:val="0"/>
          <w:divBdr>
            <w:top w:val="none" w:sz="0" w:space="0" w:color="auto"/>
            <w:left w:val="none" w:sz="0" w:space="0" w:color="auto"/>
            <w:bottom w:val="none" w:sz="0" w:space="0" w:color="auto"/>
            <w:right w:val="none" w:sz="0" w:space="0" w:color="auto"/>
          </w:divBdr>
        </w:div>
        <w:div w:id="1154644727">
          <w:marLeft w:val="0"/>
          <w:marRight w:val="0"/>
          <w:marTop w:val="0"/>
          <w:marBottom w:val="0"/>
          <w:divBdr>
            <w:top w:val="none" w:sz="0" w:space="0" w:color="auto"/>
            <w:left w:val="none" w:sz="0" w:space="0" w:color="auto"/>
            <w:bottom w:val="none" w:sz="0" w:space="0" w:color="auto"/>
            <w:right w:val="none" w:sz="0" w:space="0" w:color="auto"/>
          </w:divBdr>
        </w:div>
        <w:div w:id="1176309072">
          <w:marLeft w:val="0"/>
          <w:marRight w:val="0"/>
          <w:marTop w:val="0"/>
          <w:marBottom w:val="0"/>
          <w:divBdr>
            <w:top w:val="none" w:sz="0" w:space="0" w:color="auto"/>
            <w:left w:val="none" w:sz="0" w:space="0" w:color="auto"/>
            <w:bottom w:val="none" w:sz="0" w:space="0" w:color="auto"/>
            <w:right w:val="none" w:sz="0" w:space="0" w:color="auto"/>
          </w:divBdr>
        </w:div>
        <w:div w:id="1203598288">
          <w:marLeft w:val="0"/>
          <w:marRight w:val="0"/>
          <w:marTop w:val="0"/>
          <w:marBottom w:val="0"/>
          <w:divBdr>
            <w:top w:val="none" w:sz="0" w:space="0" w:color="auto"/>
            <w:left w:val="none" w:sz="0" w:space="0" w:color="auto"/>
            <w:bottom w:val="none" w:sz="0" w:space="0" w:color="auto"/>
            <w:right w:val="none" w:sz="0" w:space="0" w:color="auto"/>
          </w:divBdr>
        </w:div>
        <w:div w:id="1217427953">
          <w:marLeft w:val="0"/>
          <w:marRight w:val="0"/>
          <w:marTop w:val="0"/>
          <w:marBottom w:val="0"/>
          <w:divBdr>
            <w:top w:val="none" w:sz="0" w:space="0" w:color="auto"/>
            <w:left w:val="none" w:sz="0" w:space="0" w:color="auto"/>
            <w:bottom w:val="none" w:sz="0" w:space="0" w:color="auto"/>
            <w:right w:val="none" w:sz="0" w:space="0" w:color="auto"/>
          </w:divBdr>
        </w:div>
        <w:div w:id="1227304410">
          <w:marLeft w:val="0"/>
          <w:marRight w:val="0"/>
          <w:marTop w:val="0"/>
          <w:marBottom w:val="0"/>
          <w:divBdr>
            <w:top w:val="none" w:sz="0" w:space="0" w:color="auto"/>
            <w:left w:val="none" w:sz="0" w:space="0" w:color="auto"/>
            <w:bottom w:val="none" w:sz="0" w:space="0" w:color="auto"/>
            <w:right w:val="none" w:sz="0" w:space="0" w:color="auto"/>
          </w:divBdr>
        </w:div>
        <w:div w:id="1246723451">
          <w:marLeft w:val="0"/>
          <w:marRight w:val="0"/>
          <w:marTop w:val="0"/>
          <w:marBottom w:val="0"/>
          <w:divBdr>
            <w:top w:val="none" w:sz="0" w:space="0" w:color="auto"/>
            <w:left w:val="none" w:sz="0" w:space="0" w:color="auto"/>
            <w:bottom w:val="none" w:sz="0" w:space="0" w:color="auto"/>
            <w:right w:val="none" w:sz="0" w:space="0" w:color="auto"/>
          </w:divBdr>
        </w:div>
        <w:div w:id="1268000781">
          <w:marLeft w:val="0"/>
          <w:marRight w:val="0"/>
          <w:marTop w:val="0"/>
          <w:marBottom w:val="0"/>
          <w:divBdr>
            <w:top w:val="none" w:sz="0" w:space="0" w:color="auto"/>
            <w:left w:val="none" w:sz="0" w:space="0" w:color="auto"/>
            <w:bottom w:val="none" w:sz="0" w:space="0" w:color="auto"/>
            <w:right w:val="none" w:sz="0" w:space="0" w:color="auto"/>
          </w:divBdr>
        </w:div>
        <w:div w:id="1290666069">
          <w:marLeft w:val="0"/>
          <w:marRight w:val="0"/>
          <w:marTop w:val="0"/>
          <w:marBottom w:val="0"/>
          <w:divBdr>
            <w:top w:val="none" w:sz="0" w:space="0" w:color="auto"/>
            <w:left w:val="none" w:sz="0" w:space="0" w:color="auto"/>
            <w:bottom w:val="none" w:sz="0" w:space="0" w:color="auto"/>
            <w:right w:val="none" w:sz="0" w:space="0" w:color="auto"/>
          </w:divBdr>
        </w:div>
        <w:div w:id="1291597069">
          <w:marLeft w:val="0"/>
          <w:marRight w:val="0"/>
          <w:marTop w:val="0"/>
          <w:marBottom w:val="0"/>
          <w:divBdr>
            <w:top w:val="none" w:sz="0" w:space="0" w:color="auto"/>
            <w:left w:val="none" w:sz="0" w:space="0" w:color="auto"/>
            <w:bottom w:val="none" w:sz="0" w:space="0" w:color="auto"/>
            <w:right w:val="none" w:sz="0" w:space="0" w:color="auto"/>
          </w:divBdr>
        </w:div>
        <w:div w:id="1292782172">
          <w:marLeft w:val="0"/>
          <w:marRight w:val="0"/>
          <w:marTop w:val="0"/>
          <w:marBottom w:val="0"/>
          <w:divBdr>
            <w:top w:val="none" w:sz="0" w:space="0" w:color="auto"/>
            <w:left w:val="none" w:sz="0" w:space="0" w:color="auto"/>
            <w:bottom w:val="none" w:sz="0" w:space="0" w:color="auto"/>
            <w:right w:val="none" w:sz="0" w:space="0" w:color="auto"/>
          </w:divBdr>
        </w:div>
        <w:div w:id="1354573636">
          <w:marLeft w:val="0"/>
          <w:marRight w:val="0"/>
          <w:marTop w:val="0"/>
          <w:marBottom w:val="0"/>
          <w:divBdr>
            <w:top w:val="none" w:sz="0" w:space="0" w:color="auto"/>
            <w:left w:val="none" w:sz="0" w:space="0" w:color="auto"/>
            <w:bottom w:val="none" w:sz="0" w:space="0" w:color="auto"/>
            <w:right w:val="none" w:sz="0" w:space="0" w:color="auto"/>
          </w:divBdr>
        </w:div>
        <w:div w:id="1358458906">
          <w:marLeft w:val="0"/>
          <w:marRight w:val="0"/>
          <w:marTop w:val="0"/>
          <w:marBottom w:val="0"/>
          <w:divBdr>
            <w:top w:val="none" w:sz="0" w:space="0" w:color="auto"/>
            <w:left w:val="none" w:sz="0" w:space="0" w:color="auto"/>
            <w:bottom w:val="none" w:sz="0" w:space="0" w:color="auto"/>
            <w:right w:val="none" w:sz="0" w:space="0" w:color="auto"/>
          </w:divBdr>
        </w:div>
        <w:div w:id="1376806449">
          <w:marLeft w:val="0"/>
          <w:marRight w:val="0"/>
          <w:marTop w:val="0"/>
          <w:marBottom w:val="0"/>
          <w:divBdr>
            <w:top w:val="none" w:sz="0" w:space="0" w:color="auto"/>
            <w:left w:val="none" w:sz="0" w:space="0" w:color="auto"/>
            <w:bottom w:val="none" w:sz="0" w:space="0" w:color="auto"/>
            <w:right w:val="none" w:sz="0" w:space="0" w:color="auto"/>
          </w:divBdr>
        </w:div>
        <w:div w:id="1376851990">
          <w:marLeft w:val="0"/>
          <w:marRight w:val="0"/>
          <w:marTop w:val="0"/>
          <w:marBottom w:val="0"/>
          <w:divBdr>
            <w:top w:val="none" w:sz="0" w:space="0" w:color="auto"/>
            <w:left w:val="none" w:sz="0" w:space="0" w:color="auto"/>
            <w:bottom w:val="none" w:sz="0" w:space="0" w:color="auto"/>
            <w:right w:val="none" w:sz="0" w:space="0" w:color="auto"/>
          </w:divBdr>
        </w:div>
        <w:div w:id="1407336731">
          <w:marLeft w:val="0"/>
          <w:marRight w:val="0"/>
          <w:marTop w:val="0"/>
          <w:marBottom w:val="0"/>
          <w:divBdr>
            <w:top w:val="none" w:sz="0" w:space="0" w:color="auto"/>
            <w:left w:val="none" w:sz="0" w:space="0" w:color="auto"/>
            <w:bottom w:val="none" w:sz="0" w:space="0" w:color="auto"/>
            <w:right w:val="none" w:sz="0" w:space="0" w:color="auto"/>
          </w:divBdr>
        </w:div>
        <w:div w:id="1442802054">
          <w:marLeft w:val="0"/>
          <w:marRight w:val="0"/>
          <w:marTop w:val="0"/>
          <w:marBottom w:val="0"/>
          <w:divBdr>
            <w:top w:val="none" w:sz="0" w:space="0" w:color="auto"/>
            <w:left w:val="none" w:sz="0" w:space="0" w:color="auto"/>
            <w:bottom w:val="none" w:sz="0" w:space="0" w:color="auto"/>
            <w:right w:val="none" w:sz="0" w:space="0" w:color="auto"/>
          </w:divBdr>
        </w:div>
        <w:div w:id="1481656887">
          <w:marLeft w:val="0"/>
          <w:marRight w:val="0"/>
          <w:marTop w:val="0"/>
          <w:marBottom w:val="0"/>
          <w:divBdr>
            <w:top w:val="none" w:sz="0" w:space="0" w:color="auto"/>
            <w:left w:val="none" w:sz="0" w:space="0" w:color="auto"/>
            <w:bottom w:val="none" w:sz="0" w:space="0" w:color="auto"/>
            <w:right w:val="none" w:sz="0" w:space="0" w:color="auto"/>
          </w:divBdr>
        </w:div>
        <w:div w:id="1594046366">
          <w:marLeft w:val="0"/>
          <w:marRight w:val="0"/>
          <w:marTop w:val="0"/>
          <w:marBottom w:val="0"/>
          <w:divBdr>
            <w:top w:val="none" w:sz="0" w:space="0" w:color="auto"/>
            <w:left w:val="none" w:sz="0" w:space="0" w:color="auto"/>
            <w:bottom w:val="none" w:sz="0" w:space="0" w:color="auto"/>
            <w:right w:val="none" w:sz="0" w:space="0" w:color="auto"/>
          </w:divBdr>
        </w:div>
        <w:div w:id="1672878848">
          <w:marLeft w:val="0"/>
          <w:marRight w:val="0"/>
          <w:marTop w:val="0"/>
          <w:marBottom w:val="0"/>
          <w:divBdr>
            <w:top w:val="none" w:sz="0" w:space="0" w:color="auto"/>
            <w:left w:val="none" w:sz="0" w:space="0" w:color="auto"/>
            <w:bottom w:val="none" w:sz="0" w:space="0" w:color="auto"/>
            <w:right w:val="none" w:sz="0" w:space="0" w:color="auto"/>
          </w:divBdr>
        </w:div>
        <w:div w:id="1715540794">
          <w:marLeft w:val="0"/>
          <w:marRight w:val="0"/>
          <w:marTop w:val="0"/>
          <w:marBottom w:val="0"/>
          <w:divBdr>
            <w:top w:val="none" w:sz="0" w:space="0" w:color="auto"/>
            <w:left w:val="none" w:sz="0" w:space="0" w:color="auto"/>
            <w:bottom w:val="none" w:sz="0" w:space="0" w:color="auto"/>
            <w:right w:val="none" w:sz="0" w:space="0" w:color="auto"/>
          </w:divBdr>
        </w:div>
        <w:div w:id="1832259115">
          <w:marLeft w:val="0"/>
          <w:marRight w:val="0"/>
          <w:marTop w:val="0"/>
          <w:marBottom w:val="0"/>
          <w:divBdr>
            <w:top w:val="none" w:sz="0" w:space="0" w:color="auto"/>
            <w:left w:val="none" w:sz="0" w:space="0" w:color="auto"/>
            <w:bottom w:val="none" w:sz="0" w:space="0" w:color="auto"/>
            <w:right w:val="none" w:sz="0" w:space="0" w:color="auto"/>
          </w:divBdr>
        </w:div>
        <w:div w:id="1903363874">
          <w:marLeft w:val="0"/>
          <w:marRight w:val="0"/>
          <w:marTop w:val="0"/>
          <w:marBottom w:val="0"/>
          <w:divBdr>
            <w:top w:val="none" w:sz="0" w:space="0" w:color="auto"/>
            <w:left w:val="none" w:sz="0" w:space="0" w:color="auto"/>
            <w:bottom w:val="none" w:sz="0" w:space="0" w:color="auto"/>
            <w:right w:val="none" w:sz="0" w:space="0" w:color="auto"/>
          </w:divBdr>
        </w:div>
        <w:div w:id="1929192898">
          <w:marLeft w:val="0"/>
          <w:marRight w:val="0"/>
          <w:marTop w:val="0"/>
          <w:marBottom w:val="0"/>
          <w:divBdr>
            <w:top w:val="none" w:sz="0" w:space="0" w:color="auto"/>
            <w:left w:val="none" w:sz="0" w:space="0" w:color="auto"/>
            <w:bottom w:val="none" w:sz="0" w:space="0" w:color="auto"/>
            <w:right w:val="none" w:sz="0" w:space="0" w:color="auto"/>
          </w:divBdr>
        </w:div>
        <w:div w:id="2009211938">
          <w:marLeft w:val="0"/>
          <w:marRight w:val="0"/>
          <w:marTop w:val="0"/>
          <w:marBottom w:val="0"/>
          <w:divBdr>
            <w:top w:val="none" w:sz="0" w:space="0" w:color="auto"/>
            <w:left w:val="none" w:sz="0" w:space="0" w:color="auto"/>
            <w:bottom w:val="none" w:sz="0" w:space="0" w:color="auto"/>
            <w:right w:val="none" w:sz="0" w:space="0" w:color="auto"/>
          </w:divBdr>
        </w:div>
        <w:div w:id="2056733237">
          <w:marLeft w:val="0"/>
          <w:marRight w:val="0"/>
          <w:marTop w:val="0"/>
          <w:marBottom w:val="0"/>
          <w:divBdr>
            <w:top w:val="none" w:sz="0" w:space="0" w:color="auto"/>
            <w:left w:val="none" w:sz="0" w:space="0" w:color="auto"/>
            <w:bottom w:val="none" w:sz="0" w:space="0" w:color="auto"/>
            <w:right w:val="none" w:sz="0" w:space="0" w:color="auto"/>
          </w:divBdr>
        </w:div>
        <w:div w:id="2071998120">
          <w:marLeft w:val="0"/>
          <w:marRight w:val="0"/>
          <w:marTop w:val="0"/>
          <w:marBottom w:val="0"/>
          <w:divBdr>
            <w:top w:val="none" w:sz="0" w:space="0" w:color="auto"/>
            <w:left w:val="none" w:sz="0" w:space="0" w:color="auto"/>
            <w:bottom w:val="none" w:sz="0" w:space="0" w:color="auto"/>
            <w:right w:val="none" w:sz="0" w:space="0" w:color="auto"/>
          </w:divBdr>
        </w:div>
        <w:div w:id="2105372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edu/files/pdfs/2021-2025%20AAUP%20Contract.pdf" TargetMode="External"/><Relationship Id="rId13" Type="http://schemas.openxmlformats.org/officeDocument/2006/relationships/hyperlink" Target="http://web.ccsu.edu/oira2/Faculty/Faculty_Salary_Benchmarking_Report.pdf" TargetMode="External"/><Relationship Id="rId18" Type="http://schemas.openxmlformats.org/officeDocument/2006/relationships/hyperlink" Target="https://web.ccsu.edu/facultysenate/scccsuf_aac.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cs.ccsu.edu/oira/assessment/surveys/NSSE/NSSE_Special_2017_Topical_Module_Academic_Advising.pdf" TargetMode="External"/><Relationship Id="rId7" Type="http://schemas.openxmlformats.org/officeDocument/2006/relationships/endnotes" Target="endnotes.xml"/><Relationship Id="rId12" Type="http://schemas.openxmlformats.org/officeDocument/2006/relationships/hyperlink" Target="https://www.ct.edu/files/pdfs/SUOAF-2021-2025.pdf" TargetMode="External"/><Relationship Id="rId17" Type="http://schemas.openxmlformats.org/officeDocument/2006/relationships/hyperlink" Target="https://web.ccsu.edu/facultysenate/promoandtenure.asp" TargetMode="External"/><Relationship Id="rId25" Type="http://schemas.openxmlformats.org/officeDocument/2006/relationships/hyperlink" Target="https://www.ccsu.edu/urcad/urcad.html" TargetMode="External"/><Relationship Id="rId2" Type="http://schemas.openxmlformats.org/officeDocument/2006/relationships/numbering" Target="numbering.xml"/><Relationship Id="rId16" Type="http://schemas.openxmlformats.org/officeDocument/2006/relationships/hyperlink" Target="https://www.ct.edu/files/pdfs/SUOAF-2021-2025.pdf" TargetMode="External"/><Relationship Id="rId20" Type="http://schemas.openxmlformats.org/officeDocument/2006/relationships/hyperlink" Target="https://web.ccsu.edu/facultysenate/scccsuf.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su.edu/diversity/affirmativeAction.html" TargetMode="External"/><Relationship Id="rId24" Type="http://schemas.openxmlformats.org/officeDocument/2006/relationships/hyperlink" Target="https://www.ccsu.edu/iacuc/" TargetMode="External"/><Relationship Id="rId5" Type="http://schemas.openxmlformats.org/officeDocument/2006/relationships/webSettings" Target="webSettings.xml"/><Relationship Id="rId15" Type="http://schemas.openxmlformats.org/officeDocument/2006/relationships/hyperlink" Target="https://www.ccsu.edu/hr/policies.html" TargetMode="External"/><Relationship Id="rId23" Type="http://schemas.openxmlformats.org/officeDocument/2006/relationships/hyperlink" Target="https://www.ccsu.edu/irb/" TargetMode="External"/><Relationship Id="rId28" Type="http://schemas.openxmlformats.org/officeDocument/2006/relationships/theme" Target="theme/theme1.xml"/><Relationship Id="rId10" Type="http://schemas.openxmlformats.org/officeDocument/2006/relationships/hyperlink" Target="https://www.ccsu.edu/hr/hiringProcess.html" TargetMode="External"/><Relationship Id="rId19" Type="http://schemas.openxmlformats.org/officeDocument/2006/relationships/hyperlink" Target="https://web.ccsu.edu/facultysenate/promoandtenure.asp" TargetMode="External"/><Relationship Id="rId4" Type="http://schemas.openxmlformats.org/officeDocument/2006/relationships/settings" Target="settings.xml"/><Relationship Id="rId9" Type="http://schemas.openxmlformats.org/officeDocument/2006/relationships/hyperlink" Target="https://www.ccsu.edu/cti/" TargetMode="External"/><Relationship Id="rId14" Type="http://schemas.openxmlformats.org/officeDocument/2006/relationships/hyperlink" Target="https://web.ccsu.edu/facultysenate/promoandtenure.asp" TargetMode="External"/><Relationship Id="rId22" Type="http://schemas.openxmlformats.org/officeDocument/2006/relationships/hyperlink" Target="https://docs.ccsu.edu/oira/assessment/surveys/NSSE/NSSE_Frequencies_and_Statistical_Comparisons_202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41DD5-2653-5247-A6E8-49822C93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Links>
    <vt:vector size="90" baseType="variant">
      <vt:variant>
        <vt:i4>65625</vt:i4>
      </vt:variant>
      <vt:variant>
        <vt:i4>51</vt:i4>
      </vt:variant>
      <vt:variant>
        <vt:i4>0</vt:i4>
      </vt:variant>
      <vt:variant>
        <vt:i4>5</vt:i4>
      </vt:variant>
      <vt:variant>
        <vt:lpwstr>https://web.ccsu.edu/facultysenate/files/Department_P__T_Guidelines/Community Engagement Documentation Guidelines.pdf</vt:lpwstr>
      </vt:variant>
      <vt:variant>
        <vt:lpwstr/>
      </vt:variant>
      <vt:variant>
        <vt:i4>393224</vt:i4>
      </vt:variant>
      <vt:variant>
        <vt:i4>48</vt:i4>
      </vt:variant>
      <vt:variant>
        <vt:i4>0</vt:i4>
      </vt:variant>
      <vt:variant>
        <vt:i4>5</vt:i4>
      </vt:variant>
      <vt:variant>
        <vt:lpwstr>https://web.ccsu.edu/facultysenate/promoandtenure.asp</vt:lpwstr>
      </vt:variant>
      <vt:variant>
        <vt:lpwstr/>
      </vt:variant>
      <vt:variant>
        <vt:i4>3735598</vt:i4>
      </vt:variant>
      <vt:variant>
        <vt:i4>45</vt:i4>
      </vt:variant>
      <vt:variant>
        <vt:i4>0</vt:i4>
      </vt:variant>
      <vt:variant>
        <vt:i4>5</vt:i4>
      </vt:variant>
      <vt:variant>
        <vt:lpwstr>https://web.ccsu.edu/facultysenate/scccsuf.asp</vt:lpwstr>
      </vt:variant>
      <vt:variant>
        <vt:lpwstr/>
      </vt:variant>
      <vt:variant>
        <vt:i4>393224</vt:i4>
      </vt:variant>
      <vt:variant>
        <vt:i4>42</vt:i4>
      </vt:variant>
      <vt:variant>
        <vt:i4>0</vt:i4>
      </vt:variant>
      <vt:variant>
        <vt:i4>5</vt:i4>
      </vt:variant>
      <vt:variant>
        <vt:lpwstr>https://web.ccsu.edu/facultysenate/promoandtenure.asp</vt:lpwstr>
      </vt:variant>
      <vt:variant>
        <vt:lpwstr/>
      </vt:variant>
      <vt:variant>
        <vt:i4>3866640</vt:i4>
      </vt:variant>
      <vt:variant>
        <vt:i4>39</vt:i4>
      </vt:variant>
      <vt:variant>
        <vt:i4>0</vt:i4>
      </vt:variant>
      <vt:variant>
        <vt:i4>5</vt:i4>
      </vt:variant>
      <vt:variant>
        <vt:lpwstr>https://web.ccsu.edu/facultysenate/scccsuf_aac.asp</vt:lpwstr>
      </vt:variant>
      <vt:variant>
        <vt:lpwstr/>
      </vt:variant>
      <vt:variant>
        <vt:i4>393224</vt:i4>
      </vt:variant>
      <vt:variant>
        <vt:i4>27</vt:i4>
      </vt:variant>
      <vt:variant>
        <vt:i4>0</vt:i4>
      </vt:variant>
      <vt:variant>
        <vt:i4>5</vt:i4>
      </vt:variant>
      <vt:variant>
        <vt:lpwstr>https://web.ccsu.edu/facultysenate/promoandtenure.asp</vt:lpwstr>
      </vt:variant>
      <vt:variant>
        <vt:lpwstr/>
      </vt:variant>
      <vt:variant>
        <vt:i4>1966160</vt:i4>
      </vt:variant>
      <vt:variant>
        <vt:i4>24</vt:i4>
      </vt:variant>
      <vt:variant>
        <vt:i4>0</vt:i4>
      </vt:variant>
      <vt:variant>
        <vt:i4>5</vt:i4>
      </vt:variant>
      <vt:variant>
        <vt:lpwstr>https://www.ct.edu/files/pdfs/SUOAF-2021-2025.pdf</vt:lpwstr>
      </vt:variant>
      <vt:variant>
        <vt:lpwstr/>
      </vt:variant>
      <vt:variant>
        <vt:i4>1048583</vt:i4>
      </vt:variant>
      <vt:variant>
        <vt:i4>21</vt:i4>
      </vt:variant>
      <vt:variant>
        <vt:i4>0</vt:i4>
      </vt:variant>
      <vt:variant>
        <vt:i4>5</vt:i4>
      </vt:variant>
      <vt:variant>
        <vt:lpwstr>https://www.ccsu.edu/hr/policies.html</vt:lpwstr>
      </vt:variant>
      <vt:variant>
        <vt:lpwstr/>
      </vt:variant>
      <vt:variant>
        <vt:i4>393224</vt:i4>
      </vt:variant>
      <vt:variant>
        <vt:i4>18</vt:i4>
      </vt:variant>
      <vt:variant>
        <vt:i4>0</vt:i4>
      </vt:variant>
      <vt:variant>
        <vt:i4>5</vt:i4>
      </vt:variant>
      <vt:variant>
        <vt:lpwstr>https://web.ccsu.edu/facultysenate/promoandtenure.asp</vt:lpwstr>
      </vt:variant>
      <vt:variant>
        <vt:lpwstr/>
      </vt:variant>
      <vt:variant>
        <vt:i4>5374068</vt:i4>
      </vt:variant>
      <vt:variant>
        <vt:i4>15</vt:i4>
      </vt:variant>
      <vt:variant>
        <vt:i4>0</vt:i4>
      </vt:variant>
      <vt:variant>
        <vt:i4>5</vt:i4>
      </vt:variant>
      <vt:variant>
        <vt:lpwstr>http://web.ccsu.edu/oira2/Faculty/Faculty_Salary_Benchmarking_Report.pdf</vt:lpwstr>
      </vt:variant>
      <vt:variant>
        <vt:lpwstr/>
      </vt:variant>
      <vt:variant>
        <vt:i4>1966160</vt:i4>
      </vt:variant>
      <vt:variant>
        <vt:i4>12</vt:i4>
      </vt:variant>
      <vt:variant>
        <vt:i4>0</vt:i4>
      </vt:variant>
      <vt:variant>
        <vt:i4>5</vt:i4>
      </vt:variant>
      <vt:variant>
        <vt:lpwstr>https://www.ct.edu/files/pdfs/SUOAF-2021-2025.pdf</vt:lpwstr>
      </vt:variant>
      <vt:variant>
        <vt:lpwstr/>
      </vt:variant>
      <vt:variant>
        <vt:i4>4653137</vt:i4>
      </vt:variant>
      <vt:variant>
        <vt:i4>9</vt:i4>
      </vt:variant>
      <vt:variant>
        <vt:i4>0</vt:i4>
      </vt:variant>
      <vt:variant>
        <vt:i4>5</vt:i4>
      </vt:variant>
      <vt:variant>
        <vt:lpwstr>https://www.ccsu.edu/diversity/affirmativeAction.html</vt:lpwstr>
      </vt:variant>
      <vt:variant>
        <vt:lpwstr/>
      </vt:variant>
      <vt:variant>
        <vt:i4>3801151</vt:i4>
      </vt:variant>
      <vt:variant>
        <vt:i4>6</vt:i4>
      </vt:variant>
      <vt:variant>
        <vt:i4>0</vt:i4>
      </vt:variant>
      <vt:variant>
        <vt:i4>5</vt:i4>
      </vt:variant>
      <vt:variant>
        <vt:lpwstr>https://www.ccsu.edu/hr/hiringProcess.html</vt:lpwstr>
      </vt:variant>
      <vt:variant>
        <vt:lpwstr/>
      </vt:variant>
      <vt:variant>
        <vt:i4>4456513</vt:i4>
      </vt:variant>
      <vt:variant>
        <vt:i4>3</vt:i4>
      </vt:variant>
      <vt:variant>
        <vt:i4>0</vt:i4>
      </vt:variant>
      <vt:variant>
        <vt:i4>5</vt:i4>
      </vt:variant>
      <vt:variant>
        <vt:lpwstr>https://www.ccsu.edu/cti/</vt:lpwstr>
      </vt:variant>
      <vt:variant>
        <vt:lpwstr/>
      </vt:variant>
      <vt:variant>
        <vt:i4>655376</vt:i4>
      </vt:variant>
      <vt:variant>
        <vt:i4>0</vt:i4>
      </vt:variant>
      <vt:variant>
        <vt:i4>0</vt:i4>
      </vt:variant>
      <vt:variant>
        <vt:i4>5</vt:i4>
      </vt:variant>
      <vt:variant>
        <vt:lpwstr>https://www.ct.edu/files/pdfs/2021-2025 AAUP Contract.pdf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Tully, John (CCSU)</dc:creator>
  <cp:keywords/>
  <dc:description/>
  <cp:lastModifiedBy>Kirby, Yvonne (Associate VP Plan and Inst. Effectiveness)</cp:lastModifiedBy>
  <cp:revision>7</cp:revision>
  <dcterms:created xsi:type="dcterms:W3CDTF">2023-02-14T19:03:00Z</dcterms:created>
  <dcterms:modified xsi:type="dcterms:W3CDTF">2023-02-20T12:53:00Z</dcterms:modified>
</cp:coreProperties>
</file>