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C25C3" w14:textId="066D07C9" w:rsidR="00FF5AE1" w:rsidRDefault="00FF5AE1" w:rsidP="00FF5AE1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bookmarkStart w:id="0" w:name="_GoBack"/>
      <w:bookmarkEnd w:id="0"/>
      <w:r>
        <w:rPr>
          <w:rFonts w:ascii="Bookman Old Style" w:eastAsia="Calibri" w:hAnsi="Bookman Old Style" w:cs="Times New Roman"/>
          <w:b/>
          <w:sz w:val="24"/>
          <w:szCs w:val="24"/>
        </w:rPr>
        <w:t>School of Education and Professional Studies</w:t>
      </w:r>
    </w:p>
    <w:p w14:paraId="2ED54E1F" w14:textId="5E9364BA" w:rsidR="00750342" w:rsidRPr="00F66DCC" w:rsidRDefault="00750342" w:rsidP="00FF5AE1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F66DCC">
        <w:rPr>
          <w:rFonts w:ascii="Bookman Old Style" w:eastAsia="Calibri" w:hAnsi="Bookman Old Style" w:cs="Times New Roman"/>
          <w:b/>
          <w:sz w:val="24"/>
          <w:szCs w:val="24"/>
        </w:rPr>
        <w:t>Central Teacher Education Committee (CTEC)</w:t>
      </w:r>
    </w:p>
    <w:p w14:paraId="4822BC26" w14:textId="37C8C354" w:rsidR="00750342" w:rsidRDefault="00FF5AE1" w:rsidP="00FF5AE1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F5AE1">
        <w:rPr>
          <w:rFonts w:ascii="Bookman Old Style" w:eastAsia="Calibri" w:hAnsi="Bookman Old Style" w:cs="Times New Roman"/>
          <w:b/>
          <w:color w:val="FF0000"/>
          <w:sz w:val="20"/>
          <w:szCs w:val="20"/>
        </w:rPr>
        <w:t>Minutes</w:t>
      </w:r>
      <w:r>
        <w:rPr>
          <w:rFonts w:ascii="Bookman Old Style" w:eastAsia="Calibri" w:hAnsi="Bookman Old Style" w:cs="Times New Roman"/>
          <w:b/>
          <w:sz w:val="20"/>
          <w:szCs w:val="20"/>
        </w:rPr>
        <w:t xml:space="preserve"> for </w:t>
      </w:r>
      <w:r w:rsidR="00B41E4A">
        <w:rPr>
          <w:rFonts w:ascii="Bookman Old Style" w:eastAsia="Calibri" w:hAnsi="Bookman Old Style" w:cs="Times New Roman"/>
          <w:b/>
          <w:sz w:val="20"/>
          <w:szCs w:val="20"/>
        </w:rPr>
        <w:t>March</w:t>
      </w:r>
      <w:r w:rsidR="00D871A3">
        <w:rPr>
          <w:rFonts w:ascii="Bookman Old Style" w:eastAsia="Calibri" w:hAnsi="Bookman Old Style" w:cs="Times New Roman"/>
          <w:b/>
          <w:sz w:val="20"/>
          <w:szCs w:val="20"/>
        </w:rPr>
        <w:t xml:space="preserve"> 22</w:t>
      </w:r>
      <w:r w:rsidR="00183159">
        <w:rPr>
          <w:rFonts w:ascii="Bookman Old Style" w:eastAsia="Calibri" w:hAnsi="Bookman Old Style" w:cs="Times New Roman"/>
          <w:b/>
          <w:sz w:val="20"/>
          <w:szCs w:val="20"/>
        </w:rPr>
        <w:t>,</w:t>
      </w:r>
      <w:r w:rsidR="00FC0076">
        <w:rPr>
          <w:rFonts w:ascii="Bookman Old Style" w:eastAsia="Calibri" w:hAnsi="Bookman Old Style" w:cs="Times New Roman"/>
          <w:b/>
          <w:sz w:val="20"/>
          <w:szCs w:val="20"/>
        </w:rPr>
        <w:t xml:space="preserve"> 2018</w:t>
      </w:r>
      <w:r w:rsidR="00750342">
        <w:rPr>
          <w:rFonts w:ascii="Bookman Old Style" w:eastAsia="Calibri" w:hAnsi="Bookman Old Style" w:cs="Times New Roman"/>
          <w:b/>
          <w:sz w:val="20"/>
          <w:szCs w:val="20"/>
        </w:rPr>
        <w:t xml:space="preserve">, 3:15 – 5:00, </w:t>
      </w:r>
      <w:r w:rsidR="002D1A39">
        <w:rPr>
          <w:rFonts w:ascii="Bookman Old Style" w:eastAsia="Calibri" w:hAnsi="Bookman Old Style" w:cs="Times New Roman"/>
          <w:b/>
          <w:sz w:val="20"/>
          <w:szCs w:val="20"/>
        </w:rPr>
        <w:t>1849</w:t>
      </w:r>
      <w:r w:rsidR="00E14388">
        <w:rPr>
          <w:rFonts w:ascii="Bookman Old Style" w:eastAsia="Calibri" w:hAnsi="Bookman Old Style" w:cs="Times New Roman"/>
          <w:b/>
          <w:sz w:val="20"/>
          <w:szCs w:val="20"/>
        </w:rPr>
        <w:t xml:space="preserve"> Room, Student Center </w:t>
      </w:r>
      <w:r w:rsidR="002D1A39">
        <w:rPr>
          <w:rFonts w:ascii="Bookman Old Style" w:eastAsia="Calibri" w:hAnsi="Bookman Old Style" w:cs="Times New Roman"/>
          <w:b/>
          <w:sz w:val="20"/>
          <w:szCs w:val="20"/>
        </w:rPr>
        <w:t>(upstairs, second floor)</w:t>
      </w:r>
    </w:p>
    <w:p w14:paraId="2BFA3D77" w14:textId="3A14D0CD" w:rsidR="00FF5AE1" w:rsidRDefault="00FF5AE1" w:rsidP="00FF5AE1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4B9B28C1" w14:textId="77777777" w:rsidR="00FF5AE1" w:rsidRDefault="00FF5AE1" w:rsidP="00FF5AE1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tbl>
      <w:tblPr>
        <w:tblStyle w:val="TableGrid1"/>
        <w:tblW w:w="110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9897"/>
        <w:gridCol w:w="273"/>
      </w:tblGrid>
      <w:tr w:rsidR="00750342" w14:paraId="3F5052B3" w14:textId="77777777" w:rsidTr="00FF5AE1"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32E" w14:textId="1A775D9D" w:rsidR="00750342" w:rsidRDefault="00750342">
            <w:pPr>
              <w:spacing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</w:tr>
      <w:tr w:rsidR="00750342" w14:paraId="182ABF26" w14:textId="77777777" w:rsidTr="00FF5A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197" w14:textId="704F2048" w:rsidR="00750342" w:rsidRDefault="0075034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E3A" w14:textId="77777777" w:rsidR="00750342" w:rsidRPr="00E258FA" w:rsidRDefault="0075034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459" w14:textId="2696589A" w:rsidR="00750342" w:rsidRPr="00E258FA" w:rsidRDefault="0075034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</w:tr>
      <w:tr w:rsidR="00750342" w14:paraId="2844AB09" w14:textId="77777777" w:rsidTr="00FF5AE1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043" w14:textId="77777777" w:rsidR="00750342" w:rsidRDefault="00FF5AE1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I.</w:t>
            </w:r>
          </w:p>
          <w:p w14:paraId="79D63D1A" w14:textId="77777777" w:rsidR="00FF5AE1" w:rsidRDefault="00FF5AE1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45A8F48A" w14:textId="77777777" w:rsidR="00FF5AE1" w:rsidRDefault="00FF5AE1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77303C2E" w14:textId="77777777" w:rsidR="00FF5AE1" w:rsidRDefault="00FF5AE1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59FCB7B9" w14:textId="0BC44E91" w:rsidR="00FF5AE1" w:rsidRDefault="00FF5AE1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31195445" w14:textId="33C2AC37" w:rsidR="00FF5AE1" w:rsidRDefault="00FF5AE1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4E5588F4" w14:textId="0506BEB0" w:rsidR="00FF5AE1" w:rsidRDefault="00FF5AE1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II.</w:t>
            </w:r>
          </w:p>
          <w:p w14:paraId="7F5C490B" w14:textId="126B15C6" w:rsidR="00FF5AE1" w:rsidRDefault="00FF5AE1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312EFA43" w14:textId="1107FCD0" w:rsidR="00FF5AE1" w:rsidRDefault="00DC69B0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III</w:t>
            </w:r>
            <w:r w:rsidR="00FF5AE1">
              <w:rPr>
                <w:rFonts w:ascii="Bookman Old Style" w:eastAsia="Calibri" w:hAnsi="Bookman Old Style" w:cs="Times New Roman"/>
                <w:sz w:val="20"/>
                <w:szCs w:val="20"/>
              </w:rPr>
              <w:t>.</w:t>
            </w:r>
          </w:p>
          <w:p w14:paraId="5660B0D9" w14:textId="566D55F0" w:rsidR="00FF5AE1" w:rsidRDefault="00FF5AE1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137488A2" w14:textId="7A7A7EAB" w:rsidR="00FF5AE1" w:rsidRDefault="00DC69B0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I</w:t>
            </w:r>
            <w:r w:rsidR="00FF5AE1">
              <w:rPr>
                <w:rFonts w:ascii="Bookman Old Style" w:eastAsia="Calibri" w:hAnsi="Bookman Old Style" w:cs="Times New Roman"/>
                <w:sz w:val="20"/>
                <w:szCs w:val="20"/>
              </w:rPr>
              <w:t>V.</w:t>
            </w:r>
          </w:p>
          <w:p w14:paraId="22D99975" w14:textId="1081ADFF" w:rsidR="00FF5AE1" w:rsidRDefault="00FF5AE1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80F" w14:textId="70DD3F5D" w:rsidR="006415ED" w:rsidRDefault="00FF5AE1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In attendance:</w:t>
            </w:r>
            <w:r w:rsidR="00101B8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</w:t>
            </w:r>
            <w:r w:rsidR="007370B0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*</w:t>
            </w:r>
            <w:r w:rsidR="00101B8E" w:rsidRPr="007370B0">
              <w:rPr>
                <w:rFonts w:ascii="Bookman Old Style" w:eastAsia="Calibri" w:hAnsi="Bookman Old Style" w:cs="Times New Roman"/>
                <w:sz w:val="20"/>
                <w:szCs w:val="20"/>
              </w:rPr>
              <w:t>J. Kara-Soteriou; K. McGrath; M. Bartone; S. Ostrowski; R. Fuentes; M. Mitchell; J. DeLaura; C. Broadus-Garcia; H. Koulidobrova; J. Foshay; J. Werblow; S. Drew; Dean Kostelis; L. Tafrate; M. Bigley; O. Odesina;</w:t>
            </w:r>
            <w:r w:rsidR="00101B8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</w:t>
            </w:r>
          </w:p>
          <w:p w14:paraId="648E767D" w14:textId="48648CCD" w:rsidR="00FF5AE1" w:rsidRDefault="00FF5AE1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14:paraId="547A63D2" w14:textId="6A2915C2" w:rsidR="00FF5AE1" w:rsidRPr="007370B0" w:rsidRDefault="007370B0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*</w:t>
            </w:r>
            <w:r w:rsidR="00FF5AE1" w:rsidRPr="007370B0">
              <w:rPr>
                <w:rFonts w:ascii="Bookman Old Style" w:eastAsia="Calibri" w:hAnsi="Bookman Old Style" w:cs="Times New Roman"/>
                <w:sz w:val="20"/>
                <w:szCs w:val="20"/>
              </w:rPr>
              <w:t>Partners:</w:t>
            </w:r>
            <w:r w:rsidR="00101B8E" w:rsidRPr="007370B0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Elizabeth Wilson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(CREC)</w:t>
            </w:r>
            <w:r w:rsidR="00101B8E" w:rsidRPr="007370B0">
              <w:rPr>
                <w:rFonts w:ascii="Bookman Old Style" w:eastAsia="Calibri" w:hAnsi="Bookman Old Style" w:cs="Times New Roman"/>
                <w:sz w:val="20"/>
                <w:szCs w:val="20"/>
              </w:rPr>
              <w:t>, Neela Thakur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(Wethersfield)</w:t>
            </w:r>
            <w:r w:rsidR="00101B8E" w:rsidRPr="007370B0">
              <w:rPr>
                <w:rFonts w:ascii="Bookman Old Style" w:eastAsia="Calibri" w:hAnsi="Bookman Old Style" w:cs="Times New Roman"/>
                <w:sz w:val="20"/>
                <w:szCs w:val="20"/>
              </w:rPr>
              <w:t>, Kara Watson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(Berlin)</w:t>
            </w:r>
          </w:p>
          <w:p w14:paraId="25BAA339" w14:textId="77777777" w:rsidR="00FF5AE1" w:rsidRDefault="00FF5AE1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1D6B0826" w14:textId="0BAD3AB1" w:rsidR="00183159" w:rsidRDefault="00750342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258FA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CTEC meeting minutes</w:t>
            </w:r>
            <w:r w:rsidR="007370B0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for February 2018</w:t>
            </w:r>
            <w:r w:rsidRPr="00E258FA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 </w:t>
            </w:r>
            <w:r w:rsidR="00FF5AE1">
              <w:rPr>
                <w:rFonts w:ascii="Bookman Old Style" w:eastAsia="Calibri" w:hAnsi="Bookman Old Style" w:cs="Times New Roman"/>
                <w:sz w:val="20"/>
                <w:szCs w:val="20"/>
              </w:rPr>
              <w:t>*Approved</w:t>
            </w:r>
          </w:p>
          <w:p w14:paraId="63FB5A30" w14:textId="77777777" w:rsidR="003F6C13" w:rsidRDefault="003F6C13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3845AA09" w14:textId="2D99D3F2" w:rsidR="003F6C13" w:rsidRPr="00727686" w:rsidRDefault="003F6C13" w:rsidP="003F6C13">
            <w:pPr>
              <w:tabs>
                <w:tab w:val="left" w:pos="2230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7686">
              <w:rPr>
                <w:rFonts w:ascii="Bookman Old Style" w:hAnsi="Bookman Old Style"/>
                <w:b/>
                <w:sz w:val="20"/>
                <w:szCs w:val="20"/>
              </w:rPr>
              <w:t>CTEC Director election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F5AE1">
              <w:rPr>
                <w:rFonts w:ascii="Bookman Old Style" w:hAnsi="Bookman Old Style"/>
                <w:sz w:val="20"/>
                <w:szCs w:val="20"/>
              </w:rPr>
              <w:t>- *</w:t>
            </w:r>
            <w:r w:rsidR="00101B8E">
              <w:rPr>
                <w:rFonts w:ascii="Bookman Old Style" w:hAnsi="Bookman Old Style"/>
                <w:sz w:val="20"/>
                <w:szCs w:val="20"/>
              </w:rPr>
              <w:t>Joan Nicoll-Senft elected</w:t>
            </w:r>
          </w:p>
          <w:p w14:paraId="1140A848" w14:textId="77777777" w:rsidR="006D105E" w:rsidRDefault="006D105E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6666F085" w14:textId="67ED5DC8" w:rsidR="00885F77" w:rsidRPr="00101B8E" w:rsidRDefault="00EC54AA" w:rsidP="00C427DE">
            <w:pPr>
              <w:tabs>
                <w:tab w:val="left" w:pos="2230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Partnership Spotlight </w:t>
            </w:r>
            <w:r w:rsidR="00AB0625">
              <w:rPr>
                <w:rFonts w:ascii="Bookman Old Style" w:hAnsi="Bookman Old Style"/>
                <w:b/>
                <w:sz w:val="20"/>
                <w:szCs w:val="20"/>
              </w:rPr>
              <w:t>–will begin in April!</w:t>
            </w:r>
            <w:r w:rsidR="00105DBB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AB0625">
              <w:rPr>
                <w:rFonts w:ascii="Bookman Old Style" w:hAnsi="Bookman Old Style"/>
                <w:b/>
                <w:sz w:val="20"/>
                <w:szCs w:val="20"/>
              </w:rPr>
              <w:t>Partners, be thinking about what you would like to share.</w:t>
            </w:r>
            <w:r w:rsidR="00101B8E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r w:rsidR="00101B8E">
              <w:rPr>
                <w:rFonts w:ascii="Bookman Old Style" w:hAnsi="Bookman Old Style"/>
                <w:sz w:val="20"/>
                <w:szCs w:val="20"/>
              </w:rPr>
              <w:t>*These items will be highlighted on our website.  Voting for subcommittees will take place in April.</w:t>
            </w:r>
          </w:p>
          <w:p w14:paraId="7F221AEC" w14:textId="77777777" w:rsidR="00FF5AE1" w:rsidRPr="00280072" w:rsidRDefault="00FF5AE1" w:rsidP="00C427DE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75850D99" w14:textId="77777777" w:rsidR="008B7C83" w:rsidRPr="00E258FA" w:rsidRDefault="008B7C83" w:rsidP="00D1705A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3D02" w14:textId="15CC16C5" w:rsidR="00750342" w:rsidRDefault="00750342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6F0A6E22" w14:textId="77777777" w:rsidR="0082006A" w:rsidRDefault="0082006A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179ACA04" w14:textId="70D1DBE4" w:rsidR="00727686" w:rsidRPr="00E258FA" w:rsidRDefault="00727686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B1E38" w14:paraId="254EBEFD" w14:textId="77777777" w:rsidTr="00FF5AE1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8DB" w14:textId="4B7F5914" w:rsidR="00BB1E38" w:rsidRDefault="00DC69B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V</w:t>
            </w:r>
            <w:r w:rsidR="00FF5AE1">
              <w:rPr>
                <w:rFonts w:ascii="Bookman Old Style" w:eastAsia="Calibri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196D" w14:textId="35D929E0" w:rsidR="00D1705A" w:rsidRDefault="00D1705A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SEPS Dean – Dean Kostelis</w:t>
            </w:r>
          </w:p>
          <w:p w14:paraId="67284D71" w14:textId="77777777" w:rsidR="0034481F" w:rsidRDefault="0034481F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00FFA37" w14:textId="2CAC2F83" w:rsidR="00FF5AE1" w:rsidRPr="00CA1AB3" w:rsidRDefault="0034481F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="00CA1AB3">
              <w:rPr>
                <w:rFonts w:ascii="Bookman Old Style" w:hAnsi="Bookman Old Style"/>
                <w:sz w:val="20"/>
                <w:szCs w:val="20"/>
              </w:rPr>
              <w:t xml:space="preserve">The bylaws will be updated.  SEPS will need more representatives for the Open House.  The Social Emotional Learning Center will will be articulating specific goals.  The Dean </w:t>
            </w:r>
            <w:r>
              <w:rPr>
                <w:rFonts w:ascii="Bookman Old Style" w:hAnsi="Bookman Old Style"/>
                <w:sz w:val="20"/>
                <w:szCs w:val="20"/>
              </w:rPr>
              <w:t>is requesting feedback.  There will be a strategic roll out process.  Modules were distributed at the meeting and can also be found on Blackboard.  These are geared for student teachers and will require  modification for practicing teachers.</w:t>
            </w:r>
          </w:p>
          <w:p w14:paraId="63AE0F7E" w14:textId="77777777" w:rsidR="00BB1E38" w:rsidRPr="00E258FA" w:rsidRDefault="00BB1E38" w:rsidP="002E7525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A43" w14:textId="3DEDB2C3" w:rsidR="00BB1E38" w:rsidRPr="00E258FA" w:rsidRDefault="00BB1E38" w:rsidP="002E7525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2E7525" w14:paraId="5AACDC0E" w14:textId="77777777" w:rsidTr="00FF5AE1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BBFB" w14:textId="243124A3" w:rsidR="002E7525" w:rsidRDefault="00DC69B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V</w:t>
            </w:r>
            <w:r w:rsidR="004E0530">
              <w:rPr>
                <w:rFonts w:ascii="Bookman Old Style" w:eastAsia="Calibri" w:hAnsi="Bookman Old Style" w:cs="Times New Roman"/>
                <w:sz w:val="20"/>
                <w:szCs w:val="20"/>
              </w:rPr>
              <w:t>I.</w:t>
            </w:r>
          </w:p>
          <w:p w14:paraId="4D7B86A1" w14:textId="77777777" w:rsidR="004E0530" w:rsidRDefault="004E053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7472087F" w14:textId="77777777" w:rsidR="004E0530" w:rsidRDefault="004E053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4D6B3F32" w14:textId="77777777" w:rsidR="004E0530" w:rsidRDefault="004E053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6EA2C23F" w14:textId="77777777" w:rsidR="004E0530" w:rsidRDefault="004E053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0C15C246" w14:textId="77777777" w:rsidR="004E0530" w:rsidRDefault="004E053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3280B01F" w14:textId="77777777" w:rsidR="004E0530" w:rsidRDefault="004E053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5901B0CC" w14:textId="39CAC1FC" w:rsidR="004E0530" w:rsidRDefault="004E053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77D" w14:textId="77777777" w:rsidR="002E7525" w:rsidRDefault="002E7525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Curriculum Sub-Committee Report</w:t>
            </w:r>
            <w:r w:rsidR="00E8589E">
              <w:rPr>
                <w:rFonts w:ascii="Bookman Old Style" w:hAnsi="Bookman Old Style"/>
                <w:b/>
                <w:sz w:val="20"/>
                <w:szCs w:val="20"/>
              </w:rPr>
              <w:t>—Joan Nicoll-Senft</w:t>
            </w:r>
          </w:p>
          <w:p w14:paraId="0FEF2D2D" w14:textId="77777777" w:rsidR="0034481F" w:rsidRDefault="008B7C83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Summer curriculum grant submitted </w:t>
            </w:r>
            <w:r w:rsidR="00FF5F5E">
              <w:rPr>
                <w:rFonts w:ascii="Bookman Old Style" w:hAnsi="Bookman Old Style"/>
                <w:sz w:val="20"/>
                <w:szCs w:val="20"/>
              </w:rPr>
              <w:t>(SPED 315</w:t>
            </w:r>
            <w:r>
              <w:rPr>
                <w:rFonts w:ascii="Bookman Old Style" w:hAnsi="Bookman Old Style"/>
                <w:sz w:val="20"/>
                <w:szCs w:val="20"/>
              </w:rPr>
              <w:t>: edTPA aligned planning assignment &amp; diverse learner profiles. Stipends for program coordinators to provide feedback.</w:t>
            </w:r>
            <w:r w:rsidR="00FF5F5E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14:paraId="7E30F061" w14:textId="77777777" w:rsidR="0034481F" w:rsidRDefault="0034481F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12D55BAB" w14:textId="0249F8CC" w:rsidR="004E0530" w:rsidRDefault="0034481F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*This subcommittee will need a new chair and more membership</w:t>
            </w:r>
          </w:p>
          <w:p w14:paraId="5D7C7D94" w14:textId="77777777" w:rsidR="004E0530" w:rsidRDefault="004E0530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D83BE6B" w14:textId="77777777" w:rsidR="00E8589E" w:rsidRPr="00E8589E" w:rsidRDefault="00E8589E" w:rsidP="00727686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5CC" w14:textId="62EFC345" w:rsidR="002E7525" w:rsidRDefault="002E7525" w:rsidP="003F6C13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2E7525" w14:paraId="5C8B7A9F" w14:textId="77777777" w:rsidTr="00FF5AE1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0B9" w14:textId="0C574ED8" w:rsidR="002E7525" w:rsidRDefault="004E0530" w:rsidP="00DC69B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VII.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8AB" w14:textId="77777777" w:rsidR="002E7525" w:rsidRDefault="002E7525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Partnership Sub-Committee Report</w:t>
            </w:r>
            <w:r w:rsidR="00E8589E">
              <w:rPr>
                <w:rFonts w:ascii="Bookman Old Style" w:hAnsi="Bookman Old Style"/>
                <w:b/>
                <w:sz w:val="20"/>
                <w:szCs w:val="20"/>
              </w:rPr>
              <w:t>—Sally Drew</w:t>
            </w:r>
          </w:p>
          <w:p w14:paraId="79977B54" w14:textId="77777777" w:rsidR="00AF2270" w:rsidRDefault="00AF2270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27F1437" w14:textId="6ADA575D" w:rsidR="003F6C13" w:rsidRDefault="00625D18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NNER u</w:t>
            </w:r>
            <w:r w:rsidR="003F6C13">
              <w:rPr>
                <w:rFonts w:ascii="Bookman Old Style" w:hAnsi="Bookman Old Style"/>
                <w:sz w:val="20"/>
                <w:szCs w:val="20"/>
              </w:rPr>
              <w:t>pdate and input for April 30</w:t>
            </w:r>
            <w:r w:rsidR="003F6C13" w:rsidRPr="003F6C1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="003F6C13">
              <w:rPr>
                <w:rFonts w:ascii="Bookman Old Style" w:hAnsi="Bookman Old Style"/>
                <w:sz w:val="20"/>
                <w:szCs w:val="20"/>
              </w:rPr>
              <w:t xml:space="preserve">  NNER session event</w:t>
            </w:r>
          </w:p>
          <w:p w14:paraId="55567FE6" w14:textId="727587B9" w:rsidR="0034481F" w:rsidRDefault="0034481F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1E4B700" w14:textId="0F026973" w:rsidR="0034481F" w:rsidRDefault="0034481F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*proposals are due April 2</w:t>
            </w:r>
            <w:r w:rsidRPr="0034481F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/>
                <w:sz w:val="20"/>
                <w:szCs w:val="20"/>
              </w:rPr>
              <w:t>.  Sally will forward the call electronically and will receive RSVP’s.  Travel will be covered.</w:t>
            </w:r>
          </w:p>
          <w:p w14:paraId="6A941AB2" w14:textId="52EB73FB" w:rsidR="008F3828" w:rsidRPr="003F6C13" w:rsidRDefault="008F3828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*several events on campus through Engineering and Technology Education and an art youth show through the Art Department</w:t>
            </w:r>
          </w:p>
          <w:p w14:paraId="2383AA94" w14:textId="77777777" w:rsidR="004E0530" w:rsidRDefault="004E0530" w:rsidP="008B7C83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8CE6119" w14:textId="6AD5B4BD" w:rsidR="004E0530" w:rsidRDefault="004E0530" w:rsidP="008B7C83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D002" w14:textId="23232581" w:rsidR="003F6C13" w:rsidRDefault="003F6C13" w:rsidP="002E7525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2E7525" w14:paraId="10C9C534" w14:textId="77777777" w:rsidTr="00FF5AE1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1CF" w14:textId="78F04369" w:rsidR="002E7525" w:rsidRDefault="00DC69B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VIII</w:t>
            </w:r>
            <w:r w:rsidR="004E0530">
              <w:rPr>
                <w:rFonts w:ascii="Bookman Old Style" w:eastAsia="Calibri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4A8" w14:textId="4B2F125F" w:rsidR="002E7525" w:rsidRDefault="002E7525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Assessment Sub-Committee Report</w:t>
            </w:r>
            <w:r w:rsidR="00E8589E">
              <w:rPr>
                <w:rFonts w:ascii="Bookman Old Style" w:hAnsi="Bookman Old Style"/>
                <w:b/>
                <w:sz w:val="20"/>
                <w:szCs w:val="20"/>
              </w:rPr>
              <w:t xml:space="preserve"> – </w:t>
            </w:r>
            <w:r w:rsidR="008B7C83">
              <w:rPr>
                <w:rFonts w:ascii="Bookman Old Style" w:hAnsi="Bookman Old Style"/>
                <w:b/>
                <w:sz w:val="20"/>
                <w:szCs w:val="20"/>
              </w:rPr>
              <w:t>Mel Horton</w:t>
            </w:r>
            <w:r w:rsidR="00727686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3F62C2A1" w14:textId="77777777" w:rsidR="00F03B8C" w:rsidRDefault="00F03B8C" w:rsidP="00F03B8C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14:paraId="7551F80A" w14:textId="2977287D" w:rsidR="00F03B8C" w:rsidRPr="00F03B8C" w:rsidRDefault="00F03B8C" w:rsidP="00F03B8C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03B8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Educator Disposition Assessment (EDA)</w:t>
            </w: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update</w:t>
            </w:r>
          </w:p>
          <w:p w14:paraId="539C1880" w14:textId="263D8F34" w:rsidR="00F03B8C" w:rsidRDefault="00F03B8C" w:rsidP="00CF3FF0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14:paraId="22AB8F6A" w14:textId="2AA9A0F6" w:rsidR="004E0530" w:rsidRDefault="004E0530" w:rsidP="00CF3FF0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14:paraId="4890D3D6" w14:textId="77777777" w:rsidR="004E0530" w:rsidRDefault="004E0530" w:rsidP="00CF3FF0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14:paraId="33094D35" w14:textId="7F7FCE92" w:rsidR="00CF3FF0" w:rsidRDefault="00F03B8C" w:rsidP="00CF3FF0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CAEP accreditation update</w:t>
            </w:r>
            <w:r w:rsidR="00CF3FF0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</w:p>
          <w:p w14:paraId="44493E95" w14:textId="2B996FE1" w:rsidR="00AF2270" w:rsidRPr="00BC5F84" w:rsidRDefault="00BC5F84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*student teaching evaluations should all include discipline specific items</w:t>
            </w:r>
          </w:p>
          <w:p w14:paraId="0FCEBE6B" w14:textId="096BDA07" w:rsidR="004E0530" w:rsidRDefault="004E0530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997F924" w14:textId="77777777" w:rsidR="004E0530" w:rsidRDefault="004E0530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8F2B3E5" w14:textId="2427F7A8" w:rsidR="00AF2270" w:rsidRDefault="00C21CE3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03B8C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r w:rsidR="00727686" w:rsidRPr="00F03B8C">
              <w:rPr>
                <w:rFonts w:ascii="Bookman Old Style" w:hAnsi="Bookman Old Style"/>
                <w:b/>
                <w:sz w:val="20"/>
                <w:szCs w:val="20"/>
              </w:rPr>
              <w:t xml:space="preserve">dTPA implementation </w:t>
            </w:r>
            <w:r w:rsidR="00F03B8C">
              <w:rPr>
                <w:rFonts w:ascii="Bookman Old Style" w:hAnsi="Bookman Old Style"/>
                <w:b/>
                <w:sz w:val="20"/>
                <w:szCs w:val="20"/>
              </w:rPr>
              <w:t>update</w:t>
            </w:r>
          </w:p>
          <w:p w14:paraId="2C549B95" w14:textId="361CF7A8" w:rsidR="00BC5F84" w:rsidRDefault="00BC5F84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*be aware of upcoming deadlines</w:t>
            </w:r>
          </w:p>
          <w:p w14:paraId="1055ABB2" w14:textId="718A225C" w:rsidR="00BC5F84" w:rsidRDefault="00BC5F84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*workshop being held at University of Bridgeport requires registration</w:t>
            </w:r>
          </w:p>
          <w:p w14:paraId="5B55123D" w14:textId="2DCD5135" w:rsidR="00BC5F84" w:rsidRDefault="00BC5F84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*faculty will be able to come to a workshop held by Dr. Horton in May to see data</w:t>
            </w:r>
          </w:p>
          <w:p w14:paraId="38B11CBF" w14:textId="5AA68C61" w:rsidR="008F3828" w:rsidRPr="00BC5F84" w:rsidRDefault="008F3828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*cost should be disclosed to students repeatedly so they can prepare</w:t>
            </w:r>
          </w:p>
          <w:p w14:paraId="04EA8652" w14:textId="342F9D67" w:rsidR="004E0530" w:rsidRDefault="004E0530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1B6594D" w14:textId="771B83BE" w:rsidR="004E0530" w:rsidRDefault="004E0530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9412CE0" w14:textId="2BA68CCF" w:rsidR="00C9331E" w:rsidRDefault="00C9331E" w:rsidP="00C9331E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E91" w14:textId="16628DDF" w:rsidR="002E7525" w:rsidRDefault="002E7525" w:rsidP="002E7525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EC54AA" w14:paraId="4E59D5F6" w14:textId="77777777" w:rsidTr="00FF5AE1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849" w14:textId="5534A00F" w:rsidR="00EC54AA" w:rsidRDefault="00EC54AA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397" w14:textId="1EC41EAE" w:rsidR="00EC54AA" w:rsidRPr="00EC54AA" w:rsidRDefault="00EC54AA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75A" w14:textId="77777777" w:rsidR="00EC54AA" w:rsidRDefault="00EC54AA" w:rsidP="002E7525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</w:tbl>
    <w:p w14:paraId="279F1C08" w14:textId="20A12B7A" w:rsidR="003D4799" w:rsidRDefault="003D4799"/>
    <w:p w14:paraId="620DAF8D" w14:textId="77777777" w:rsidR="003D4799" w:rsidRDefault="003D4799">
      <w:pPr>
        <w:spacing w:line="259" w:lineRule="auto"/>
      </w:pPr>
      <w:r>
        <w:br w:type="page"/>
      </w:r>
    </w:p>
    <w:p w14:paraId="2C0A4260" w14:textId="77777777" w:rsidR="00C21BF7" w:rsidRDefault="00C21BF7"/>
    <w:tbl>
      <w:tblPr>
        <w:tblStyle w:val="TableGrid1"/>
        <w:tblW w:w="108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8460"/>
        <w:gridCol w:w="1530"/>
      </w:tblGrid>
      <w:tr w:rsidR="00750342" w14:paraId="114DF10D" w14:textId="77777777" w:rsidTr="009E44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4F7" w14:textId="345705B6" w:rsidR="00750342" w:rsidRDefault="00DC69B0" w:rsidP="00DC69B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I</w:t>
            </w:r>
            <w:r w:rsidR="004E0530">
              <w:rPr>
                <w:rFonts w:ascii="Bookman Old Style" w:eastAsia="Calibri" w:hAnsi="Bookman Old Style" w:cs="Times New Roman"/>
                <w:sz w:val="20"/>
                <w:szCs w:val="20"/>
              </w:rPr>
              <w:t>X.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19B" w14:textId="6524C567" w:rsidR="00173240" w:rsidRPr="00F03B8C" w:rsidRDefault="00932EB8" w:rsidP="00F03B8C">
            <w:pPr>
              <w:tabs>
                <w:tab w:val="left" w:pos="2025"/>
              </w:tabs>
              <w:spacing w:after="16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E44E2">
              <w:rPr>
                <w:rFonts w:ascii="Bookman Old Style" w:hAnsi="Bookman Old Style"/>
                <w:b/>
                <w:sz w:val="20"/>
                <w:szCs w:val="20"/>
              </w:rPr>
              <w:t>Coming Attractions</w:t>
            </w:r>
            <w:r w:rsidR="00FF5F5E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764F4216" w14:textId="77777777" w:rsidR="00E8589E" w:rsidRDefault="002E7525" w:rsidP="00BB1E38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7525">
              <w:rPr>
                <w:rFonts w:ascii="Bookman Old Style" w:hAnsi="Bookman Old Style"/>
                <w:b/>
                <w:sz w:val="20"/>
                <w:szCs w:val="20"/>
              </w:rPr>
              <w:t>NNER Retreat on Monday, April 30 from 1:00 – 4:00 in the Constitution Room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—This will be a great opportunity to bring in many CCSU and K-12 partner colleagues to learn more and consider how we can bring the NNER agenda to life here. (Prizes for bringing </w:t>
            </w:r>
            <w:r w:rsidR="00E8589E">
              <w:rPr>
                <w:rFonts w:ascii="Bookman Old Style" w:hAnsi="Bookman Old Style"/>
                <w:sz w:val="20"/>
                <w:szCs w:val="20"/>
              </w:rPr>
              <w:t>folks to this!)</w:t>
            </w:r>
          </w:p>
          <w:p w14:paraId="59A72C6B" w14:textId="3FBC0207" w:rsidR="00E8589E" w:rsidRDefault="00E8589E" w:rsidP="00BB1E38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AA6954B" w14:textId="53BA346A" w:rsidR="004E0530" w:rsidRDefault="004E0530" w:rsidP="00BB1E38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3B8A420" w14:textId="77777777" w:rsidR="004E0530" w:rsidRDefault="004E0530" w:rsidP="00BB1E38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B3B9674" w14:textId="280799B0" w:rsidR="00BB1E38" w:rsidRDefault="00173240" w:rsidP="00FF5F5E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F5F5E">
              <w:rPr>
                <w:rFonts w:ascii="Bookman Old Style" w:hAnsi="Bookman Old Style"/>
                <w:b/>
                <w:sz w:val="20"/>
                <w:szCs w:val="20"/>
              </w:rPr>
              <w:t xml:space="preserve">CTEC </w:t>
            </w:r>
            <w:r w:rsidR="00E8589E" w:rsidRPr="00FF5F5E">
              <w:rPr>
                <w:rFonts w:ascii="Bookman Old Style" w:hAnsi="Bookman Old Style"/>
                <w:b/>
                <w:sz w:val="20"/>
                <w:szCs w:val="20"/>
              </w:rPr>
              <w:t>May</w:t>
            </w:r>
            <w:r w:rsidRPr="00FF5F5E">
              <w:rPr>
                <w:rFonts w:ascii="Bookman Old Style" w:hAnsi="Bookman Old Style"/>
                <w:b/>
                <w:sz w:val="20"/>
                <w:szCs w:val="20"/>
              </w:rPr>
              <w:t xml:space="preserve"> Meeting</w:t>
            </w:r>
            <w:r w:rsidR="00FF5F5E"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 w:rsidR="00FF5F5E" w:rsidRPr="00FF5F5E">
              <w:rPr>
                <w:rFonts w:ascii="Bookman Old Style" w:hAnsi="Bookman Old Style"/>
                <w:b/>
                <w:sz w:val="20"/>
                <w:szCs w:val="20"/>
              </w:rPr>
              <w:t>Gallery Walk &amp; Celebration! Thursday, May 10 1- 4 pm</w:t>
            </w:r>
            <w:r w:rsidR="00FF5F5E">
              <w:rPr>
                <w:rFonts w:ascii="Bookman Old Style" w:hAnsi="Bookman Old Style"/>
                <w:sz w:val="20"/>
                <w:szCs w:val="20"/>
              </w:rPr>
              <w:t xml:space="preserve">-Focus: on identifying shared and discipline-specific </w:t>
            </w:r>
            <w:r w:rsidR="00E8589E" w:rsidRPr="00FF5F5E">
              <w:rPr>
                <w:rFonts w:ascii="Bookman Old Style" w:hAnsi="Bookman Old Style"/>
                <w:sz w:val="20"/>
                <w:szCs w:val="20"/>
              </w:rPr>
              <w:t>research a</w:t>
            </w:r>
            <w:r w:rsidR="00FF5F5E">
              <w:rPr>
                <w:rFonts w:ascii="Bookman Old Style" w:hAnsi="Bookman Old Style"/>
                <w:sz w:val="20"/>
                <w:szCs w:val="20"/>
              </w:rPr>
              <w:t>nd theory to better prepare our teacher candidates for success in edTPA &amp; beyond; celebrating our accomplishments, and planning our future work; all faculty &amp; K-12 partners are welcome!</w:t>
            </w:r>
          </w:p>
          <w:p w14:paraId="63B0299D" w14:textId="43B8FFD6" w:rsidR="00FF5F5E" w:rsidRPr="00FF5F5E" w:rsidRDefault="00FF5F5E" w:rsidP="00FF5F5E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CC7" w14:textId="5DE96CD7" w:rsidR="00750342" w:rsidRPr="00E258FA" w:rsidRDefault="00750342" w:rsidP="002D4F46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750342" w14:paraId="2999EE80" w14:textId="77777777" w:rsidTr="00FF5AE1">
        <w:trPr>
          <w:trHeight w:val="6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2A1" w14:textId="0982E69F" w:rsidR="00750342" w:rsidRPr="009E44E2" w:rsidRDefault="004E0530" w:rsidP="00DC69B0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</w:rPr>
              <w:t>X.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290" w14:textId="348E86B9" w:rsidR="00750342" w:rsidRDefault="00750342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CTEC meetings for </w:t>
            </w:r>
            <w:r w:rsidR="004948E7" w:rsidRP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2017-2018</w:t>
            </w:r>
            <w:r w:rsidRP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academic year</w:t>
            </w:r>
            <w:r w:rsidRPr="009F4BB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="00F03B8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April 26 </w:t>
            </w:r>
            <w:r w:rsidR="00FF5F5E">
              <w:rPr>
                <w:rFonts w:ascii="Bookman Old Style" w:eastAsia="Calibri" w:hAnsi="Bookman Old Style" w:cs="Times New Roman"/>
                <w:sz w:val="20"/>
                <w:szCs w:val="20"/>
              </w:rPr>
              <w:t>(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>3:15 – 5:00 i</w:t>
            </w:r>
            <w:r w:rsidR="008B7C8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n 1849 room of Student Center) </w:t>
            </w:r>
            <w:r w:rsidR="00970A26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and 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May </w:t>
            </w:r>
            <w:r w:rsidR="006B4054">
              <w:rPr>
                <w:rFonts w:ascii="Bookman Old Style" w:eastAsia="Calibri" w:hAnsi="Bookman Old Style" w:cs="Times New Roman"/>
                <w:sz w:val="20"/>
                <w:szCs w:val="20"/>
              </w:rPr>
              <w:t>10</w:t>
            </w:r>
            <w:r w:rsidR="00C21CE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(1:00 </w:t>
            </w:r>
            <w:r w:rsidR="00FF5F5E">
              <w:rPr>
                <w:rFonts w:ascii="Bookman Old Style" w:eastAsia="Calibri" w:hAnsi="Bookman Old Style" w:cs="Times New Roman"/>
                <w:sz w:val="20"/>
                <w:szCs w:val="20"/>
              </w:rPr>
              <w:t>-</w:t>
            </w:r>
            <w:r w:rsidR="00C21CE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="00FF5F5E">
              <w:rPr>
                <w:rFonts w:ascii="Bookman Old Style" w:eastAsia="Calibri" w:hAnsi="Bookman Old Style" w:cs="Times New Roman"/>
                <w:sz w:val="20"/>
                <w:szCs w:val="20"/>
              </w:rPr>
              <w:t>4:00 pm in Barnard Hall</w:t>
            </w:r>
            <w:r w:rsidR="00C21CE3">
              <w:rPr>
                <w:rFonts w:ascii="Bookman Old Style" w:eastAsia="Calibri" w:hAnsi="Bookman Old Style" w:cs="Times New Roman"/>
                <w:sz w:val="20"/>
                <w:szCs w:val="20"/>
              </w:rPr>
              <w:t>, Room 222)</w:t>
            </w:r>
          </w:p>
          <w:p w14:paraId="7E8C9C64" w14:textId="77777777" w:rsidR="009503CB" w:rsidRPr="00E258FA" w:rsidRDefault="009503CB" w:rsidP="009503CB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D5D" w14:textId="5F016339" w:rsidR="00750342" w:rsidRDefault="00750342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750342" w14:paraId="7F67C250" w14:textId="77777777" w:rsidTr="00D94D4E">
        <w:trPr>
          <w:trHeight w:val="35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65C4" w14:textId="77777777" w:rsidR="00750342" w:rsidRDefault="00750342" w:rsidP="00E258FA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CTEC </w:t>
            </w:r>
            <w:r w:rsid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Goals for 2017-2018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BB3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Fully engage with NNER to support engagement with our K-12 community partners and program redesign. </w:t>
            </w:r>
          </w:p>
          <w:p w14:paraId="25C64E0C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Integrate carefully sequenced tasks and assessments in our current programs to ensure candidate preparation for edTPA (national scoring required beginning Fall 2018; score consequential for certification by Fall 2019).</w:t>
            </w:r>
          </w:p>
          <w:p w14:paraId="43ACE8CB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Redesign teacher preparation programs focusing on an integrated bachelor’s/master’s degree design.</w:t>
            </w:r>
          </w:p>
          <w:p w14:paraId="5B6B83B1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Propose a new integrated bachelor’s/master’s degree program to certify candidates in special education. </w:t>
            </w:r>
          </w:p>
          <w:p w14:paraId="46A8163C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Enhance recruitment and retention of teacher candidates with special focus on minority candidates and candidates in shortage areas. </w:t>
            </w:r>
          </w:p>
          <w:p w14:paraId="3969DC15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Examine our data and practices in light of standards for CAEP accreditation.</w:t>
            </w:r>
          </w:p>
          <w:p w14:paraId="2D2CD4C4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Better define and more fully activate K-12 and University partnerships. </w:t>
            </w:r>
          </w:p>
          <w:p w14:paraId="2BEB3374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Update the CTEC by-laws.</w:t>
            </w:r>
          </w:p>
          <w:p w14:paraId="7921B138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Execute CTEC role in CCSU curriculum processes related to teacher education.</w:t>
            </w:r>
          </w:p>
          <w:p w14:paraId="1C98A782" w14:textId="77777777" w:rsidR="00683EDA" w:rsidRPr="009503CB" w:rsidRDefault="00683EDA" w:rsidP="009503CB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Examine ways to address student financial concerns related to Taskstream, fingerprinting, testing, etc.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AF0" w14:textId="77777777" w:rsidR="00E258FA" w:rsidRDefault="00E258FA" w:rsidP="005E0817">
            <w:pPr>
              <w:spacing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</w:tr>
    </w:tbl>
    <w:p w14:paraId="4A96820E" w14:textId="77777777" w:rsidR="00FA218C" w:rsidRPr="002152CF" w:rsidRDefault="00FA218C" w:rsidP="00D94D4E">
      <w:pPr>
        <w:spacing w:line="259" w:lineRule="auto"/>
        <w:rPr>
          <w:rFonts w:ascii="Times New Roman" w:eastAsia="Times New Roman" w:hAnsi="Times New Roman" w:cs="Times New Roman"/>
        </w:rPr>
      </w:pPr>
    </w:p>
    <w:sectPr w:rsidR="00FA218C" w:rsidRPr="002152CF" w:rsidSect="00683EDA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C5320" w14:textId="77777777" w:rsidR="000F7CED" w:rsidRDefault="000F7CED">
      <w:pPr>
        <w:spacing w:after="0" w:line="240" w:lineRule="auto"/>
      </w:pPr>
      <w:r>
        <w:separator/>
      </w:r>
    </w:p>
  </w:endnote>
  <w:endnote w:type="continuationSeparator" w:id="0">
    <w:p w14:paraId="1A36DCF5" w14:textId="77777777" w:rsidR="000F7CED" w:rsidRDefault="000F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73B5F" w14:textId="77777777" w:rsidR="00102FA5" w:rsidRPr="00B8609E" w:rsidRDefault="00102FA5" w:rsidP="00102FA5">
    <w:pPr>
      <w:pStyle w:val="Footer"/>
      <w:rPr>
        <w:rFonts w:ascii="Times New Roman" w:hAnsi="Times New Roman" w:cs="Times New Roman"/>
        <w:sz w:val="16"/>
        <w:szCs w:val="16"/>
      </w:rPr>
    </w:pPr>
    <w:r w:rsidRPr="00B8609E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E7DBA" w14:textId="77777777" w:rsidR="000F7CED" w:rsidRDefault="000F7CED">
      <w:pPr>
        <w:spacing w:after="0" w:line="240" w:lineRule="auto"/>
      </w:pPr>
      <w:r>
        <w:separator/>
      </w:r>
    </w:p>
  </w:footnote>
  <w:footnote w:type="continuationSeparator" w:id="0">
    <w:p w14:paraId="54C74329" w14:textId="77777777" w:rsidR="000F7CED" w:rsidRDefault="000F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358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567A5" w14:textId="26BB4098" w:rsidR="00102FA5" w:rsidRDefault="00102F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D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61DBB" w14:textId="77777777" w:rsidR="00102FA5" w:rsidRDefault="00102F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D8092" w14:textId="77777777" w:rsidR="00102FA5" w:rsidRDefault="00820DCA" w:rsidP="00102FA5">
    <w:pPr>
      <w:jc w:val="center"/>
      <w:rPr>
        <w:sz w:val="28"/>
        <w:szCs w:val="28"/>
      </w:rPr>
    </w:pPr>
    <w:r>
      <w:rPr>
        <w:sz w:val="28"/>
        <w:szCs w:val="28"/>
      </w:rPr>
      <w:pict w14:anchorId="3F4E5338">
        <v:rect id="_x0000_i1025" style="width:0;height:1.5pt" o:hralign="center" o:hrstd="t" o:hr="t" fillcolor="#a0a0a0" stroked="f"/>
      </w:pict>
    </w:r>
  </w:p>
  <w:p w14:paraId="1EAA3D5A" w14:textId="77777777" w:rsidR="00102FA5" w:rsidRPr="00C03896" w:rsidRDefault="00102FA5" w:rsidP="00102FA5">
    <w:pPr>
      <w:spacing w:after="0"/>
      <w:jc w:val="center"/>
      <w:rPr>
        <w:sz w:val="28"/>
        <w:szCs w:val="28"/>
      </w:rPr>
    </w:pPr>
    <w:r w:rsidRPr="00053BEC">
      <w:rPr>
        <w:sz w:val="28"/>
        <w:szCs w:val="28"/>
      </w:rPr>
      <w:t>CENTRAL CONNECTICUT STATE UNIVERSITY</w:t>
    </w:r>
    <w:r w:rsidR="00820DCA">
      <w:rPr>
        <w:sz w:val="28"/>
        <w:szCs w:val="28"/>
      </w:rPr>
      <w:pict w14:anchorId="3ADB5D51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14FB"/>
    <w:multiLevelType w:val="hybridMultilevel"/>
    <w:tmpl w:val="2AAE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8F4"/>
    <w:multiLevelType w:val="hybridMultilevel"/>
    <w:tmpl w:val="5DF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53EA"/>
    <w:multiLevelType w:val="hybridMultilevel"/>
    <w:tmpl w:val="1C24013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0204"/>
    <w:multiLevelType w:val="hybridMultilevel"/>
    <w:tmpl w:val="97868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C62DA"/>
    <w:multiLevelType w:val="hybridMultilevel"/>
    <w:tmpl w:val="12D4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1FC5"/>
    <w:multiLevelType w:val="hybridMultilevel"/>
    <w:tmpl w:val="0F56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124C6"/>
    <w:multiLevelType w:val="hybridMultilevel"/>
    <w:tmpl w:val="A7BE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16E4"/>
    <w:multiLevelType w:val="hybridMultilevel"/>
    <w:tmpl w:val="D5DCE8DC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4D03A5"/>
    <w:multiLevelType w:val="hybridMultilevel"/>
    <w:tmpl w:val="1AAA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42DB"/>
    <w:multiLevelType w:val="hybridMultilevel"/>
    <w:tmpl w:val="36D2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47E80"/>
    <w:multiLevelType w:val="hybridMultilevel"/>
    <w:tmpl w:val="87E6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A2"/>
    <w:multiLevelType w:val="hybridMultilevel"/>
    <w:tmpl w:val="0806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506D"/>
    <w:multiLevelType w:val="hybridMultilevel"/>
    <w:tmpl w:val="36AC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74251"/>
    <w:multiLevelType w:val="hybridMultilevel"/>
    <w:tmpl w:val="CAFCD9C8"/>
    <w:lvl w:ilvl="0" w:tplc="45B6EA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30645"/>
    <w:multiLevelType w:val="hybridMultilevel"/>
    <w:tmpl w:val="12D82B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017C3"/>
    <w:multiLevelType w:val="hybridMultilevel"/>
    <w:tmpl w:val="B248218C"/>
    <w:lvl w:ilvl="0" w:tplc="7ADE1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91385"/>
    <w:multiLevelType w:val="hybridMultilevel"/>
    <w:tmpl w:val="1C0C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81374"/>
    <w:multiLevelType w:val="hybridMultilevel"/>
    <w:tmpl w:val="937C9312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BE1DD1"/>
    <w:multiLevelType w:val="hybridMultilevel"/>
    <w:tmpl w:val="173483FC"/>
    <w:lvl w:ilvl="0" w:tplc="C0DC5C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03D4B"/>
    <w:multiLevelType w:val="hybridMultilevel"/>
    <w:tmpl w:val="82BE4F80"/>
    <w:lvl w:ilvl="0" w:tplc="97AE71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E028D"/>
    <w:multiLevelType w:val="hybridMultilevel"/>
    <w:tmpl w:val="04AC79BC"/>
    <w:lvl w:ilvl="0" w:tplc="B044BB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4A7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0F3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819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A15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CFA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59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869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86BF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8B3"/>
    <w:multiLevelType w:val="hybridMultilevel"/>
    <w:tmpl w:val="4F8E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6672F"/>
    <w:multiLevelType w:val="hybridMultilevel"/>
    <w:tmpl w:val="81A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715DF"/>
    <w:multiLevelType w:val="hybridMultilevel"/>
    <w:tmpl w:val="7D92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B08DA"/>
    <w:multiLevelType w:val="hybridMultilevel"/>
    <w:tmpl w:val="A67C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5"/>
  </w:num>
  <w:num w:numId="4">
    <w:abstractNumId w:val="2"/>
  </w:num>
  <w:num w:numId="5">
    <w:abstractNumId w:val="22"/>
  </w:num>
  <w:num w:numId="6">
    <w:abstractNumId w:val="10"/>
  </w:num>
  <w:num w:numId="7">
    <w:abstractNumId w:val="1"/>
  </w:num>
  <w:num w:numId="8">
    <w:abstractNumId w:val="3"/>
  </w:num>
  <w:num w:numId="9">
    <w:abstractNumId w:val="14"/>
  </w:num>
  <w:num w:numId="10">
    <w:abstractNumId w:val="23"/>
  </w:num>
  <w:num w:numId="11">
    <w:abstractNumId w:val="12"/>
  </w:num>
  <w:num w:numId="12">
    <w:abstractNumId w:val="8"/>
  </w:num>
  <w:num w:numId="13">
    <w:abstractNumId w:val="4"/>
  </w:num>
  <w:num w:numId="14">
    <w:abstractNumId w:val="21"/>
  </w:num>
  <w:num w:numId="15">
    <w:abstractNumId w:val="18"/>
  </w:num>
  <w:num w:numId="16">
    <w:abstractNumId w:val="16"/>
  </w:num>
  <w:num w:numId="17">
    <w:abstractNumId w:val="7"/>
  </w:num>
  <w:num w:numId="18">
    <w:abstractNumId w:val="17"/>
  </w:num>
  <w:num w:numId="19">
    <w:abstractNumId w:val="6"/>
  </w:num>
  <w:num w:numId="20">
    <w:abstractNumId w:val="19"/>
  </w:num>
  <w:num w:numId="21">
    <w:abstractNumId w:val="13"/>
  </w:num>
  <w:num w:numId="22">
    <w:abstractNumId w:val="9"/>
  </w:num>
  <w:num w:numId="23">
    <w:abstractNumId w:val="11"/>
  </w:num>
  <w:num w:numId="24">
    <w:abstractNumId w:val="5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42"/>
    <w:rsid w:val="00066AB0"/>
    <w:rsid w:val="000756AB"/>
    <w:rsid w:val="000D2F59"/>
    <w:rsid w:val="000F7CED"/>
    <w:rsid w:val="00101B8E"/>
    <w:rsid w:val="00102FA5"/>
    <w:rsid w:val="00105DBB"/>
    <w:rsid w:val="0011548E"/>
    <w:rsid w:val="0015728A"/>
    <w:rsid w:val="00173240"/>
    <w:rsid w:val="00183159"/>
    <w:rsid w:val="00190FE7"/>
    <w:rsid w:val="001B15B6"/>
    <w:rsid w:val="001B613E"/>
    <w:rsid w:val="001B791B"/>
    <w:rsid w:val="00211956"/>
    <w:rsid w:val="00214231"/>
    <w:rsid w:val="002152CF"/>
    <w:rsid w:val="00254E97"/>
    <w:rsid w:val="00262A28"/>
    <w:rsid w:val="00280072"/>
    <w:rsid w:val="002C035E"/>
    <w:rsid w:val="002D1A39"/>
    <w:rsid w:val="002D2C2F"/>
    <w:rsid w:val="002D4F46"/>
    <w:rsid w:val="002E7525"/>
    <w:rsid w:val="003068D4"/>
    <w:rsid w:val="0034481F"/>
    <w:rsid w:val="00355677"/>
    <w:rsid w:val="00374887"/>
    <w:rsid w:val="003850CB"/>
    <w:rsid w:val="00385B3B"/>
    <w:rsid w:val="003945E5"/>
    <w:rsid w:val="003A540B"/>
    <w:rsid w:val="003A6327"/>
    <w:rsid w:val="003D1049"/>
    <w:rsid w:val="003D4799"/>
    <w:rsid w:val="003F6C13"/>
    <w:rsid w:val="00416B47"/>
    <w:rsid w:val="0042420E"/>
    <w:rsid w:val="00433656"/>
    <w:rsid w:val="004948E7"/>
    <w:rsid w:val="004A769B"/>
    <w:rsid w:val="004B2B53"/>
    <w:rsid w:val="004C44AF"/>
    <w:rsid w:val="004C7190"/>
    <w:rsid w:val="004D0191"/>
    <w:rsid w:val="004D11A3"/>
    <w:rsid w:val="004E0530"/>
    <w:rsid w:val="004F58C9"/>
    <w:rsid w:val="00500092"/>
    <w:rsid w:val="00513FB4"/>
    <w:rsid w:val="00551007"/>
    <w:rsid w:val="005709AB"/>
    <w:rsid w:val="00596B1D"/>
    <w:rsid w:val="005B4550"/>
    <w:rsid w:val="005E0817"/>
    <w:rsid w:val="00607855"/>
    <w:rsid w:val="00625D18"/>
    <w:rsid w:val="00627739"/>
    <w:rsid w:val="006415ED"/>
    <w:rsid w:val="0065268C"/>
    <w:rsid w:val="00655F1A"/>
    <w:rsid w:val="00683EDA"/>
    <w:rsid w:val="00693171"/>
    <w:rsid w:val="00695134"/>
    <w:rsid w:val="006B4054"/>
    <w:rsid w:val="006C00C0"/>
    <w:rsid w:val="006C0AEC"/>
    <w:rsid w:val="006D105E"/>
    <w:rsid w:val="006F2F12"/>
    <w:rsid w:val="006F47B0"/>
    <w:rsid w:val="00714055"/>
    <w:rsid w:val="00727686"/>
    <w:rsid w:val="007370B0"/>
    <w:rsid w:val="00750342"/>
    <w:rsid w:val="00750A95"/>
    <w:rsid w:val="00775E4E"/>
    <w:rsid w:val="007914F6"/>
    <w:rsid w:val="007C0DBB"/>
    <w:rsid w:val="007F53B8"/>
    <w:rsid w:val="00810F3D"/>
    <w:rsid w:val="0082006A"/>
    <w:rsid w:val="00820DCA"/>
    <w:rsid w:val="00830E0F"/>
    <w:rsid w:val="00841C0F"/>
    <w:rsid w:val="00885F77"/>
    <w:rsid w:val="00896900"/>
    <w:rsid w:val="008B7C83"/>
    <w:rsid w:val="008D48B1"/>
    <w:rsid w:val="008E199E"/>
    <w:rsid w:val="008F3828"/>
    <w:rsid w:val="0091266D"/>
    <w:rsid w:val="0092394D"/>
    <w:rsid w:val="00932EB8"/>
    <w:rsid w:val="00942BE1"/>
    <w:rsid w:val="0094713F"/>
    <w:rsid w:val="009503CB"/>
    <w:rsid w:val="00970A26"/>
    <w:rsid w:val="00991442"/>
    <w:rsid w:val="009B26E4"/>
    <w:rsid w:val="009C440C"/>
    <w:rsid w:val="009D790B"/>
    <w:rsid w:val="009E261E"/>
    <w:rsid w:val="009E44E2"/>
    <w:rsid w:val="009F4BB4"/>
    <w:rsid w:val="00A07D98"/>
    <w:rsid w:val="00A17B96"/>
    <w:rsid w:val="00A74D53"/>
    <w:rsid w:val="00AA331D"/>
    <w:rsid w:val="00AA6073"/>
    <w:rsid w:val="00AB0625"/>
    <w:rsid w:val="00AF2270"/>
    <w:rsid w:val="00B41E4A"/>
    <w:rsid w:val="00B528E8"/>
    <w:rsid w:val="00B90BB7"/>
    <w:rsid w:val="00BA43DE"/>
    <w:rsid w:val="00BB1E38"/>
    <w:rsid w:val="00BC5F84"/>
    <w:rsid w:val="00BE61C6"/>
    <w:rsid w:val="00C17A61"/>
    <w:rsid w:val="00C21BF7"/>
    <w:rsid w:val="00C21CE3"/>
    <w:rsid w:val="00C269D6"/>
    <w:rsid w:val="00C41149"/>
    <w:rsid w:val="00C427DE"/>
    <w:rsid w:val="00C9331E"/>
    <w:rsid w:val="00C94D30"/>
    <w:rsid w:val="00CA1AB3"/>
    <w:rsid w:val="00CE21B3"/>
    <w:rsid w:val="00CE6862"/>
    <w:rsid w:val="00CF0F3D"/>
    <w:rsid w:val="00CF3FF0"/>
    <w:rsid w:val="00D141C7"/>
    <w:rsid w:val="00D1705A"/>
    <w:rsid w:val="00D42D75"/>
    <w:rsid w:val="00D822FA"/>
    <w:rsid w:val="00D871A3"/>
    <w:rsid w:val="00D94D4E"/>
    <w:rsid w:val="00DC69B0"/>
    <w:rsid w:val="00DE3708"/>
    <w:rsid w:val="00DF2F5C"/>
    <w:rsid w:val="00DF5436"/>
    <w:rsid w:val="00E14388"/>
    <w:rsid w:val="00E258FA"/>
    <w:rsid w:val="00E3123B"/>
    <w:rsid w:val="00E41E4B"/>
    <w:rsid w:val="00E61302"/>
    <w:rsid w:val="00E8589E"/>
    <w:rsid w:val="00EB34A6"/>
    <w:rsid w:val="00EC54AA"/>
    <w:rsid w:val="00EC69C8"/>
    <w:rsid w:val="00ED56B3"/>
    <w:rsid w:val="00EF4130"/>
    <w:rsid w:val="00F01B84"/>
    <w:rsid w:val="00F03B8C"/>
    <w:rsid w:val="00F22348"/>
    <w:rsid w:val="00F25CBA"/>
    <w:rsid w:val="00F36351"/>
    <w:rsid w:val="00F42655"/>
    <w:rsid w:val="00F42E88"/>
    <w:rsid w:val="00F66DCC"/>
    <w:rsid w:val="00F7720A"/>
    <w:rsid w:val="00F95A12"/>
    <w:rsid w:val="00FA218C"/>
    <w:rsid w:val="00FC0076"/>
    <w:rsid w:val="00FE089A"/>
    <w:rsid w:val="00FE38F2"/>
    <w:rsid w:val="00FF5AE1"/>
    <w:rsid w:val="00FF5F5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33FA4342"/>
  <w15:chartTrackingRefBased/>
  <w15:docId w15:val="{FFD98989-BC86-4094-B231-5FB9731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42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5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1C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E4"/>
  </w:style>
  <w:style w:type="paragraph" w:styleId="Footer">
    <w:name w:val="footer"/>
    <w:basedOn w:val="Normal"/>
    <w:link w:val="Foot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E4"/>
  </w:style>
  <w:style w:type="table" w:customStyle="1" w:styleId="TableGrid3">
    <w:name w:val="Table Grid3"/>
    <w:basedOn w:val="TableNormal"/>
    <w:next w:val="TableGrid"/>
    <w:uiPriority w:val="39"/>
    <w:rsid w:val="0021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45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945E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1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525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14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319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248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303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406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945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294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manuscript reviewer</dc:creator>
  <cp:keywords/>
  <dc:description/>
  <cp:lastModifiedBy>Bigley, Mary Pat (School of Ed and Professional Studies)</cp:lastModifiedBy>
  <cp:revision>2</cp:revision>
  <cp:lastPrinted>2018-02-20T18:56:00Z</cp:lastPrinted>
  <dcterms:created xsi:type="dcterms:W3CDTF">2018-08-24T15:21:00Z</dcterms:created>
  <dcterms:modified xsi:type="dcterms:W3CDTF">2018-08-24T15:21:00Z</dcterms:modified>
</cp:coreProperties>
</file>