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54E1F" w14:textId="77777777" w:rsidR="00750342" w:rsidRPr="00F66DCC" w:rsidRDefault="00750342" w:rsidP="00750342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bookmarkEnd w:id="0"/>
      <w:r w:rsidRPr="00F66DCC">
        <w:rPr>
          <w:rFonts w:ascii="Bookman Old Style" w:eastAsia="Calibri" w:hAnsi="Bookman Old Style" w:cs="Times New Roman"/>
          <w:b/>
          <w:sz w:val="24"/>
          <w:szCs w:val="24"/>
        </w:rPr>
        <w:t>Central Teacher Education Committee (CTEC)</w:t>
      </w:r>
    </w:p>
    <w:p w14:paraId="4822BC26" w14:textId="79D7E6AD" w:rsidR="00750342" w:rsidRDefault="00D871A3" w:rsidP="00F66DCC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February 22</w:t>
      </w:r>
      <w:r w:rsidR="00183159">
        <w:rPr>
          <w:rFonts w:ascii="Bookman Old Style" w:eastAsia="Calibri" w:hAnsi="Bookman Old Style" w:cs="Times New Roman"/>
          <w:b/>
          <w:sz w:val="20"/>
          <w:szCs w:val="20"/>
        </w:rPr>
        <w:t>,</w:t>
      </w:r>
      <w:r w:rsidR="00FC0076">
        <w:rPr>
          <w:rFonts w:ascii="Bookman Old Style" w:eastAsia="Calibri" w:hAnsi="Bookman Old Style" w:cs="Times New Roman"/>
          <w:b/>
          <w:sz w:val="20"/>
          <w:szCs w:val="20"/>
        </w:rPr>
        <w:t xml:space="preserve"> 2018</w:t>
      </w:r>
      <w:r w:rsidR="00750342">
        <w:rPr>
          <w:rFonts w:ascii="Bookman Old Style" w:eastAsia="Calibri" w:hAnsi="Bookman Old Style" w:cs="Times New Roman"/>
          <w:b/>
          <w:sz w:val="20"/>
          <w:szCs w:val="20"/>
        </w:rPr>
        <w:t xml:space="preserve">, 3:15 – 5:00,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1849</w:t>
      </w:r>
      <w:r w:rsidR="00E14388">
        <w:rPr>
          <w:rFonts w:ascii="Bookman Old Style" w:eastAsia="Calibri" w:hAnsi="Bookman Old Style" w:cs="Times New Roman"/>
          <w:b/>
          <w:sz w:val="20"/>
          <w:szCs w:val="20"/>
        </w:rPr>
        <w:t xml:space="preserve"> Room, Student Center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(upstairs, second floor)</w:t>
      </w:r>
    </w:p>
    <w:tbl>
      <w:tblPr>
        <w:tblStyle w:val="TableGrid1"/>
        <w:tblW w:w="106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</w:tblGrid>
      <w:tr w:rsidR="00750342" w14:paraId="3F5052B3" w14:textId="77777777" w:rsidTr="00024182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32E" w14:textId="23BA5841" w:rsidR="00750342" w:rsidRDefault="00F50640">
            <w:pPr>
              <w:spacing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Minutes</w:t>
            </w:r>
            <w:r w:rsidR="00750342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24182" w14:paraId="182ABF26" w14:textId="77777777" w:rsidTr="000241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6197" w14:textId="77777777" w:rsidR="00024182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990D" w14:textId="77777777" w:rsidR="00024182" w:rsidRPr="00E258FA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E258FA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Topic</w:t>
            </w:r>
          </w:p>
          <w:p w14:paraId="7EC14E3A" w14:textId="77777777" w:rsidR="00024182" w:rsidRPr="00E258FA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</w:tr>
      <w:tr w:rsidR="00024182" w14:paraId="2844AB09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80F" w14:textId="77777777" w:rsidR="00024182" w:rsidRDefault="0002418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22D99975" w14:textId="77777777" w:rsidR="00024182" w:rsidRDefault="0002418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2BC" w14:textId="63AD0B46" w:rsidR="00024182" w:rsidRDefault="00024182" w:rsidP="00437271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In attendance</w:t>
            </w:r>
            <w:r w:rsidRPr="004B1631">
              <w:rPr>
                <w:rFonts w:ascii="Bookman Old Style" w:eastAsia="Calibri" w:hAnsi="Bookman Old Style" w:cs="Times New Roman"/>
                <w:sz w:val="20"/>
                <w:szCs w:val="20"/>
              </w:rPr>
              <w:t>:  K. Kostelis;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C.Doyle; J. Kara-Soteriou; M. Bartone; J. Nicoll-Senft; S. Drew; M. Mackey; L. Tafrate; M.Bigley; M. Nunn; C. Ciotto; P. Foster; J. DeLaura; D. Collins</w:t>
            </w:r>
            <w:r w:rsidR="00F50640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; C. Pesca, </w:t>
            </w:r>
          </w:p>
          <w:p w14:paraId="0DCE38E0" w14:textId="090B2E7F" w:rsidR="00024182" w:rsidRPr="00FB7403" w:rsidRDefault="00024182" w:rsidP="00437271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4B1631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Partners:</w:t>
            </w:r>
            <w:r w:rsidR="00FD43B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T. Putnam (New Britain); Elizabeth Wilson (CREC); L. Gjerpen (Berlin); N. Thakur (Wethersfield);</w:t>
            </w:r>
          </w:p>
          <w:p w14:paraId="235AC87A" w14:textId="77777777" w:rsidR="00024182" w:rsidRDefault="0002418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2DC66956" w14:textId="333FD5B2" w:rsidR="008548B5" w:rsidRDefault="0002418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258FA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CTEC meeting minutes</w:t>
            </w:r>
            <w:r w:rsidR="008548B5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January</w:t>
            </w:r>
            <w:r w:rsidR="008548B5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minutes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8548B5">
              <w:rPr>
                <w:rFonts w:ascii="Bookman Old Style" w:eastAsia="Calibri" w:hAnsi="Bookman Old Style" w:cs="Times New Roman"/>
                <w:sz w:val="20"/>
                <w:szCs w:val="20"/>
              </w:rPr>
              <w:t>a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pproved with </w:t>
            </w:r>
            <w:r w:rsidR="000A73CB">
              <w:rPr>
                <w:rFonts w:ascii="Bookman Old Style" w:eastAsia="Calibri" w:hAnsi="Bookman Old Style" w:cs="Times New Roman"/>
                <w:sz w:val="20"/>
                <w:szCs w:val="20"/>
              </w:rPr>
              <w:t>one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exception: </w:t>
            </w:r>
            <w:r w:rsidR="000A73CB">
              <w:rPr>
                <w:rFonts w:ascii="Bookman Old Style" w:eastAsia="Calibri" w:hAnsi="Bookman Old Style" w:cs="Times New Roman"/>
                <w:sz w:val="20"/>
                <w:szCs w:val="20"/>
              </w:rPr>
              <w:t>the second sentence in item III should read:  “</w:t>
            </w:r>
            <w:r w:rsidR="000A73CB">
              <w:rPr>
                <w:rFonts w:ascii="Bookman Old Style" w:hAnsi="Bookman Old Style"/>
                <w:sz w:val="20"/>
                <w:szCs w:val="20"/>
              </w:rPr>
              <w:t xml:space="preserve">The CTEC steering committee has </w:t>
            </w:r>
            <w:r w:rsidR="000A73CB" w:rsidRPr="000A73CB">
              <w:rPr>
                <w:rFonts w:ascii="Bookman Old Style" w:hAnsi="Bookman Old Style"/>
                <w:strike/>
                <w:sz w:val="20"/>
                <w:szCs w:val="20"/>
              </w:rPr>
              <w:t>subcommittees have</w:t>
            </w:r>
            <w:r w:rsidR="000A73CB">
              <w:rPr>
                <w:rFonts w:ascii="Bookman Old Style" w:hAnsi="Bookman Old Style"/>
                <w:sz w:val="20"/>
                <w:szCs w:val="20"/>
              </w:rPr>
              <w:t xml:space="preserve"> concluded that when subcommittee members are on sabbatical…”</w:t>
            </w:r>
          </w:p>
          <w:p w14:paraId="133CEF73" w14:textId="77777777" w:rsidR="008548B5" w:rsidRDefault="008548B5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23BAC840" w14:textId="0D0379A2" w:rsidR="008548B5" w:rsidRDefault="008548B5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8548B5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School Shootings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– how to support our teacher candidates?  Please forward any resources/suggestions to Joan for sharing</w:t>
            </w:r>
            <w:r w:rsidR="00FD43BE">
              <w:rPr>
                <w:rFonts w:ascii="Bookman Old Style" w:eastAsia="Calibri" w:hAnsi="Bookman Old Style" w:cs="Times New Roman"/>
                <w:sz w:val="20"/>
                <w:szCs w:val="20"/>
              </w:rPr>
              <w:t>; CTEC can serve as a clearing house for this information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</w:p>
          <w:p w14:paraId="63FB5A30" w14:textId="77777777" w:rsidR="00024182" w:rsidRDefault="0002418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845AA09" w14:textId="3CDD5CC6" w:rsidR="00024182" w:rsidRPr="00727686" w:rsidRDefault="00024182" w:rsidP="003F6C13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7686">
              <w:rPr>
                <w:rFonts w:ascii="Bookman Old Style" w:hAnsi="Bookman Old Style"/>
                <w:b/>
                <w:sz w:val="20"/>
                <w:szCs w:val="20"/>
              </w:rPr>
              <w:t>CTEC Director election</w:t>
            </w:r>
            <w:r w:rsidR="008548B5">
              <w:rPr>
                <w:rFonts w:ascii="Bookman Old Style" w:hAnsi="Bookman Old Style"/>
                <w:sz w:val="20"/>
                <w:szCs w:val="20"/>
              </w:rPr>
              <w:t xml:space="preserve"> at March meeting flyer will </w:t>
            </w:r>
            <w:r>
              <w:rPr>
                <w:rFonts w:ascii="Bookman Old Style" w:hAnsi="Bookman Old Style"/>
                <w:sz w:val="20"/>
                <w:szCs w:val="20"/>
              </w:rPr>
              <w:t>be mailed to all CTEC reps and Department chairs</w:t>
            </w:r>
            <w:r w:rsidR="008548B5">
              <w:rPr>
                <w:rFonts w:ascii="Bookman Old Style" w:hAnsi="Bookman Old Style"/>
                <w:sz w:val="20"/>
                <w:szCs w:val="20"/>
              </w:rPr>
              <w:t>.  D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eadline </w:t>
            </w:r>
            <w:r w:rsidR="008548B5">
              <w:rPr>
                <w:rFonts w:ascii="Bookman Old Style" w:hAnsi="Bookman Old Style"/>
                <w:sz w:val="20"/>
                <w:szCs w:val="20"/>
              </w:rPr>
              <w:t xml:space="preserve">for nominations is </w:t>
            </w:r>
            <w:r>
              <w:rPr>
                <w:rFonts w:ascii="Bookman Old Style" w:hAnsi="Bookman Old Style"/>
                <w:sz w:val="20"/>
                <w:szCs w:val="20"/>
              </w:rPr>
              <w:t>March 1</w:t>
            </w:r>
            <w:r w:rsidRPr="008548B5">
              <w:rPr>
                <w:rFonts w:ascii="Bookman Old Style" w:hAnsi="Bookman Old Style"/>
                <w:sz w:val="20"/>
                <w:szCs w:val="20"/>
                <w:vertAlign w:val="superscript"/>
              </w:rPr>
              <w:t>st</w:t>
            </w:r>
            <w:r w:rsidR="008548B5">
              <w:rPr>
                <w:rFonts w:ascii="Bookman Old Style" w:hAnsi="Bookman Old Style"/>
                <w:sz w:val="20"/>
                <w:szCs w:val="20"/>
              </w:rPr>
              <w:t>; please forward to Jim DeLaura.</w:t>
            </w:r>
          </w:p>
          <w:p w14:paraId="6398E1DA" w14:textId="77777777" w:rsidR="00024182" w:rsidRDefault="00024182" w:rsidP="003F6C13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3CBFBEC7" w14:textId="01FDCDB5" w:rsidR="00024182" w:rsidRPr="00E74F6D" w:rsidRDefault="0002418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F6C1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CEEDAR Clinical Partnership Initiative</w:t>
            </w:r>
            <w:r w:rsidR="00E74F6D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– </w:t>
            </w:r>
            <w:r w:rsidR="00E74F6D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the goal </w:t>
            </w:r>
            <w:r w:rsidR="00FD43BE">
              <w:rPr>
                <w:rFonts w:ascii="Bookman Old Style" w:eastAsia="Calibri" w:hAnsi="Bookman Old Style" w:cs="Times New Roman"/>
                <w:sz w:val="20"/>
                <w:szCs w:val="20"/>
              </w:rPr>
              <w:t>is to create/modify clinically based assignments which will be available for program use by fall 2018.  This project will also seek</w:t>
            </w:r>
            <w:r w:rsidR="00E74F6D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feedback on</w:t>
            </w:r>
            <w:r w:rsidR="00FD43B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our recently revised ST evaluation, UDL lesson plan template, and a ST </w:t>
            </w:r>
            <w:r w:rsidR="00E74F6D">
              <w:rPr>
                <w:rFonts w:ascii="Bookman Old Style" w:eastAsia="Calibri" w:hAnsi="Bookman Old Style" w:cs="Times New Roman"/>
                <w:sz w:val="20"/>
                <w:szCs w:val="20"/>
              </w:rPr>
              <w:t>obs</w:t>
            </w:r>
            <w:r w:rsidR="00FD43BE">
              <w:rPr>
                <w:rFonts w:ascii="Bookman Old Style" w:eastAsia="Calibri" w:hAnsi="Bookman Old Style" w:cs="Times New Roman"/>
                <w:sz w:val="20"/>
                <w:szCs w:val="20"/>
              </w:rPr>
              <w:t>ervation form.</w:t>
            </w:r>
          </w:p>
          <w:p w14:paraId="1140A848" w14:textId="77777777" w:rsidR="00024182" w:rsidRDefault="0002418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87298B2" w14:textId="325ED822" w:rsidR="00024182" w:rsidRDefault="00024182" w:rsidP="008D48B1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</w:rPr>
            </w:pPr>
            <w:r w:rsidRPr="00E74F6D">
              <w:rPr>
                <w:rFonts w:ascii="Bookman Old Style" w:hAnsi="Bookman Old Style"/>
                <w:b/>
                <w:sz w:val="20"/>
                <w:szCs w:val="20"/>
              </w:rPr>
              <w:t>Taylor A. Greene High School Prose Writing Contest</w:t>
            </w:r>
            <w:r w:rsidRPr="00727686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hyperlink r:id="rId7" w:tgtFrame="_blank" w:history="1">
              <w:r w:rsidRPr="00727686">
                <w:rPr>
                  <w:rFonts w:ascii="Bookman Old Style" w:hAnsi="Bookman Old Style"/>
                  <w:color w:val="0000FF"/>
                  <w:u w:val="single"/>
                  <w:shd w:val="clear" w:color="auto" w:fill="FFFFFF"/>
                </w:rPr>
                <w:t>http://www.ccsu.edu/english/tagwritingcontest/index.html</w:t>
              </w:r>
            </w:hyperlink>
            <w:r w:rsidRPr="00727686">
              <w:rPr>
                <w:rFonts w:ascii="Bookman Old Style" w:hAnsi="Bookman Old Style"/>
              </w:rPr>
              <w:t>)</w:t>
            </w:r>
            <w:r w:rsidR="00E74F6D">
              <w:rPr>
                <w:rFonts w:ascii="Bookman Old Style" w:hAnsi="Bookman Old Style"/>
              </w:rPr>
              <w:t xml:space="preserve">.  </w:t>
            </w:r>
            <w:r w:rsidR="00E74F6D" w:rsidRPr="00E74F6D">
              <w:rPr>
                <w:rFonts w:ascii="Bookman Old Style" w:hAnsi="Bookman Old Style"/>
                <w:sz w:val="20"/>
                <w:szCs w:val="20"/>
              </w:rPr>
              <w:t>This new scholarship program for high school seniors awards $1000 to the winner if he/she attends CCSU.</w:t>
            </w:r>
            <w:r w:rsidR="00E74F6D">
              <w:rPr>
                <w:rFonts w:ascii="Bookman Old Style" w:hAnsi="Bookman Old Style"/>
              </w:rPr>
              <w:t xml:space="preserve"> </w:t>
            </w:r>
          </w:p>
          <w:p w14:paraId="3927FA07" w14:textId="77777777" w:rsidR="00024182" w:rsidRDefault="00024182" w:rsidP="00C427DE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0A6E3571" w14:textId="1CBA6DC0" w:rsidR="00024182" w:rsidRDefault="00024182" w:rsidP="00C427DE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Fingerprinting—</w:t>
            </w:r>
            <w:r w:rsidR="00E74F6D">
              <w:rPr>
                <w:rFonts w:ascii="Bookman Old Style" w:hAnsi="Bookman Old Style"/>
                <w:sz w:val="20"/>
                <w:szCs w:val="20"/>
              </w:rPr>
              <w:t>no updates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; make sure your syllabi and websites </w:t>
            </w:r>
            <w:r w:rsidR="00B92FBC">
              <w:rPr>
                <w:rFonts w:ascii="Bookman Old Style" w:hAnsi="Bookman Old Style"/>
                <w:sz w:val="20"/>
                <w:szCs w:val="20"/>
              </w:rPr>
              <w:t>do not have outdated information.</w:t>
            </w:r>
          </w:p>
          <w:p w14:paraId="02DCA9B3" w14:textId="77777777" w:rsidR="00024182" w:rsidRDefault="00024182" w:rsidP="00C427DE">
            <w:pPr>
              <w:tabs>
                <w:tab w:val="left" w:pos="2230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666F085" w14:textId="4C5C248B" w:rsidR="00024182" w:rsidRPr="00885F77" w:rsidRDefault="00B92FBC" w:rsidP="00C427DE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Partnership Spotlight – </w:t>
            </w:r>
            <w:r w:rsidR="00FD43BE">
              <w:rPr>
                <w:rFonts w:ascii="Bookman Old Style" w:hAnsi="Bookman Old Style"/>
                <w:sz w:val="20"/>
                <w:szCs w:val="20"/>
              </w:rPr>
              <w:t>Partners will be invited to provide presentations on district initiatives</w:t>
            </w:r>
            <w:r w:rsidRPr="00B92FBC">
              <w:rPr>
                <w:rFonts w:ascii="Bookman Old Style" w:hAnsi="Bookman Old Style"/>
                <w:sz w:val="20"/>
                <w:szCs w:val="20"/>
              </w:rPr>
              <w:t xml:space="preserve">.  </w:t>
            </w:r>
          </w:p>
          <w:p w14:paraId="4104F057" w14:textId="77777777" w:rsidR="00024182" w:rsidRDefault="00024182" w:rsidP="002C035E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E779864" w14:textId="77777777" w:rsidR="00024182" w:rsidRDefault="00FD43BE" w:rsidP="00D1705A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Dean’s update –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Kim is working on a website that will serve as repository for CTEC (membership, minutes, etc.).</w:t>
            </w:r>
          </w:p>
          <w:p w14:paraId="75850D99" w14:textId="0B963C32" w:rsidR="008D6F3E" w:rsidRPr="00FD43BE" w:rsidRDefault="008D6F3E" w:rsidP="00D1705A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024182" w14:paraId="5AACDC0E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0CC" w14:textId="77777777" w:rsidR="00024182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77D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Curriculum Sub-Committee Report—Joan Nicoll-Senft</w:t>
            </w:r>
          </w:p>
          <w:p w14:paraId="554A4058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BBE1E92" w14:textId="4E24FCBD" w:rsidR="00024182" w:rsidRDefault="00024182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Still waiting for CTEC information and timelines to be added to University Curriculum website</w:t>
            </w:r>
          </w:p>
          <w:p w14:paraId="1C934B89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9C578E5" w14:textId="0D6AD760" w:rsidR="00024182" w:rsidRDefault="00024182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Summer curriculum grant work </w:t>
            </w:r>
            <w:r w:rsidR="00B92FBC">
              <w:rPr>
                <w:rFonts w:ascii="Bookman Old Style" w:hAnsi="Bookman Old Style"/>
                <w:sz w:val="20"/>
                <w:szCs w:val="20"/>
              </w:rPr>
              <w:t xml:space="preserve">to align edTPA and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SPED </w:t>
            </w:r>
            <w:r w:rsidR="00B92FBC">
              <w:rPr>
                <w:rFonts w:ascii="Bookman Old Style" w:hAnsi="Bookman Old Style"/>
                <w:sz w:val="20"/>
                <w:szCs w:val="20"/>
              </w:rPr>
              <w:t xml:space="preserve">315, which is the </w:t>
            </w:r>
            <w:r w:rsidR="00FD43BE">
              <w:rPr>
                <w:rFonts w:ascii="Bookman Old Style" w:hAnsi="Bookman Old Style"/>
                <w:sz w:val="20"/>
                <w:szCs w:val="20"/>
              </w:rPr>
              <w:t xml:space="preserve">one of the </w:t>
            </w:r>
            <w:r w:rsidR="00B92FBC">
              <w:rPr>
                <w:rFonts w:ascii="Bookman Old Style" w:hAnsi="Bookman Old Style"/>
                <w:sz w:val="20"/>
                <w:szCs w:val="20"/>
              </w:rPr>
              <w:t>only common course that all TCs take.</w:t>
            </w:r>
          </w:p>
          <w:p w14:paraId="0D83BE6B" w14:textId="77777777" w:rsidR="00024182" w:rsidRPr="00E8589E" w:rsidRDefault="00024182" w:rsidP="00727686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24182" w14:paraId="5C8B7A9F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0B9" w14:textId="77777777" w:rsidR="00024182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8AB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Partnership Sub-Committee Report—Sally Drew</w:t>
            </w:r>
          </w:p>
          <w:p w14:paraId="79977B54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727F1437" w14:textId="02AB7167" w:rsidR="00024182" w:rsidRPr="003F6C13" w:rsidRDefault="00B92FBC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National </w:t>
            </w:r>
            <w:r w:rsidR="00D16AEE">
              <w:rPr>
                <w:rFonts w:ascii="Bookman Old Style" w:hAnsi="Bookman Old Style"/>
                <w:sz w:val="20"/>
                <w:szCs w:val="20"/>
              </w:rPr>
              <w:t>Network for Educational Renewal (</w:t>
            </w:r>
            <w:r w:rsidR="00024182">
              <w:rPr>
                <w:rFonts w:ascii="Bookman Old Style" w:hAnsi="Bookman Old Style"/>
                <w:sz w:val="20"/>
                <w:szCs w:val="20"/>
              </w:rPr>
              <w:t>NNER</w:t>
            </w:r>
            <w:r w:rsidR="00D16AEE">
              <w:rPr>
                <w:rFonts w:ascii="Bookman Old Style" w:hAnsi="Bookman Old Style"/>
                <w:sz w:val="20"/>
                <w:szCs w:val="20"/>
              </w:rPr>
              <w:t>)</w:t>
            </w:r>
            <w:r w:rsidR="0002418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16AEE">
              <w:rPr>
                <w:rFonts w:ascii="Bookman Old Style" w:hAnsi="Bookman Old Style"/>
                <w:sz w:val="20"/>
                <w:szCs w:val="20"/>
              </w:rPr>
              <w:t>retreat for April 30, 1-4 p.m., is being planned. Sally is working on the agenda, let her know if you have any suggestions. A work group mapped 25 program outcome items to the 4 pillars of NNER in December; good alignment in general.</w:t>
            </w:r>
          </w:p>
          <w:p w14:paraId="0AC91193" w14:textId="77777777" w:rsidR="00024182" w:rsidRDefault="00024182" w:rsidP="00D1705A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8CE6119" w14:textId="77777777" w:rsidR="00024182" w:rsidRDefault="00024182" w:rsidP="00D16AEE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024182" w14:paraId="10C9C534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CF" w14:textId="3896C324" w:rsidR="00024182" w:rsidRDefault="0002418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4A8" w14:textId="158BDB25" w:rsidR="00024182" w:rsidRDefault="00024182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Assessment Sub-Committee Report – </w:t>
            </w:r>
            <w:r w:rsidR="003A169D">
              <w:rPr>
                <w:rFonts w:ascii="Bookman Old Style" w:hAnsi="Bookman Old Style"/>
                <w:b/>
                <w:sz w:val="20"/>
                <w:szCs w:val="20"/>
              </w:rPr>
              <w:t>Joan Nicoll-Senft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FF5F5E">
              <w:rPr>
                <w:rFonts w:ascii="Bookman Old Style" w:hAnsi="Bookman Old Style"/>
                <w:sz w:val="20"/>
                <w:szCs w:val="20"/>
              </w:rPr>
              <w:t>(on behalf of Mel Horton)</w:t>
            </w:r>
          </w:p>
          <w:p w14:paraId="6B56B958" w14:textId="77777777" w:rsidR="00024182" w:rsidRDefault="00024182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14:paraId="1C314DB8" w14:textId="77777777" w:rsidR="00D16AEE" w:rsidRDefault="00024182" w:rsidP="00CF3FF0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D105E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lastRenderedPageBreak/>
              <w:t>CAEP accreditation timeline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review…it’s closer than you think.</w:t>
            </w:r>
            <w:r w:rsidR="00D16AE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</w:t>
            </w:r>
          </w:p>
          <w:p w14:paraId="33094D35" w14:textId="64F36EEC" w:rsidR="00024182" w:rsidRPr="006B2C08" w:rsidRDefault="00D16AEE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2C08">
              <w:rPr>
                <w:rFonts w:ascii="Bookman Old Style" w:eastAsia="Calibri" w:hAnsi="Bookman Old Style" w:cs="Times New Roman"/>
                <w:sz w:val="20"/>
                <w:szCs w:val="20"/>
              </w:rPr>
              <w:t>Spring 2019 SPA reports due; require 3 cycles of data (last semester, current semester, next semester)</w:t>
            </w:r>
          </w:p>
          <w:p w14:paraId="7363EC2B" w14:textId="77777777" w:rsidR="00D16AEE" w:rsidRPr="006B2C08" w:rsidRDefault="00D16AEE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2C08">
              <w:rPr>
                <w:rFonts w:ascii="Bookman Old Style" w:eastAsia="Calibri" w:hAnsi="Bookman Old Style" w:cs="Times New Roman"/>
                <w:sz w:val="20"/>
                <w:szCs w:val="20"/>
              </w:rPr>
              <w:t>2021 self-study due</w:t>
            </w:r>
          </w:p>
          <w:p w14:paraId="434A609D" w14:textId="3A161821" w:rsidR="00D16AEE" w:rsidRPr="006B2C08" w:rsidRDefault="00D16AEE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2C08">
              <w:rPr>
                <w:rFonts w:ascii="Bookman Old Style" w:eastAsia="Calibri" w:hAnsi="Bookman Old Style" w:cs="Times New Roman"/>
                <w:sz w:val="20"/>
                <w:szCs w:val="20"/>
              </w:rPr>
              <w:t>2022 site visit</w:t>
            </w:r>
          </w:p>
          <w:p w14:paraId="69F34480" w14:textId="275417A0" w:rsidR="00D16AEE" w:rsidRDefault="00D16AEE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2C08">
              <w:rPr>
                <w:rFonts w:ascii="Bookman Old Style" w:eastAsia="Calibri" w:hAnsi="Bookman Old Style" w:cs="Times New Roman"/>
                <w:sz w:val="20"/>
                <w:szCs w:val="20"/>
              </w:rPr>
              <w:t>The question was raised: are stipends offered for writing SPA reports? A: don’t know at this time.</w:t>
            </w:r>
          </w:p>
          <w:p w14:paraId="7D8AC942" w14:textId="51861749" w:rsidR="006B2C08" w:rsidRDefault="006B2C08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Kim stated that the state will allow a program report with feedback versus a SPA report, as some programs don’t have SPAs or are too small; let Kim know preferences.</w:t>
            </w:r>
          </w:p>
          <w:p w14:paraId="20381B52" w14:textId="47C715B7" w:rsidR="006B2C08" w:rsidRDefault="006B2C08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The unit is accredited; programs get SPA accreditation.  If there is no SPA, the program gets unit accreditation.</w:t>
            </w:r>
          </w:p>
          <w:p w14:paraId="4CE33AB1" w14:textId="12255E79" w:rsidR="003A169D" w:rsidRPr="006B2C08" w:rsidRDefault="003A169D" w:rsidP="006B2C08">
            <w:pPr>
              <w:pStyle w:val="ListParagraph"/>
              <w:numPr>
                <w:ilvl w:val="0"/>
                <w:numId w:val="27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Evaluating for your professional organization is an excellent way to become knowledgeable about SPA requirements and writing to them.</w:t>
            </w:r>
          </w:p>
          <w:p w14:paraId="09412CE0" w14:textId="2BA68CCF" w:rsidR="00024182" w:rsidRDefault="00024182" w:rsidP="003A169D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A169D" w14:paraId="729729AF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83E" w14:textId="77777777" w:rsidR="003A169D" w:rsidRDefault="003A169D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886" w14:textId="0C7EEBC7" w:rsidR="003A169D" w:rsidRDefault="003A169D" w:rsidP="003A169D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A169D">
              <w:rPr>
                <w:rFonts w:ascii="Bookman Old Style" w:hAnsi="Bookman Old Style"/>
                <w:b/>
                <w:sz w:val="20"/>
                <w:szCs w:val="20"/>
              </w:rPr>
              <w:t>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dTPA implementation feedback – </w:t>
            </w:r>
          </w:p>
          <w:p w14:paraId="67090912" w14:textId="538A8D62" w:rsid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Students are feeling overwhelmed</w:t>
            </w:r>
          </w:p>
          <w:p w14:paraId="055ED5ED" w14:textId="7CE73FE3" w:rsid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Video equipment challenges including not enough available, breakdowns</w:t>
            </w:r>
          </w:p>
          <w:p w14:paraId="4E8AE74B" w14:textId="4689A843" w:rsid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It appears that smart phones, iPad and a computer work best in fulfilling the video requirements</w:t>
            </w:r>
          </w:p>
          <w:p w14:paraId="2A08E6C9" w14:textId="240DD737" w:rsid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Sound quality is a challenge with both phones and video </w:t>
            </w:r>
            <w:r w:rsidR="008D6F3E">
              <w:rPr>
                <w:rFonts w:ascii="Bookman Old Style" w:hAnsi="Bookman Old Style"/>
                <w:sz w:val="20"/>
                <w:szCs w:val="20"/>
              </w:rPr>
              <w:t xml:space="preserve">equipment for PE </w:t>
            </w:r>
            <w:r>
              <w:rPr>
                <w:rFonts w:ascii="Bookman Old Style" w:hAnsi="Bookman Old Style"/>
                <w:sz w:val="20"/>
                <w:szCs w:val="20"/>
              </w:rPr>
              <w:t>(buy new equipment?)</w:t>
            </w:r>
          </w:p>
          <w:p w14:paraId="295ACB43" w14:textId="38BDFA6B" w:rsid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Students report that the timelines are a help in planning out their work</w:t>
            </w:r>
          </w:p>
          <w:p w14:paraId="5E6EB9F4" w14:textId="43EE0BAF" w:rsidR="003A169D" w:rsidRPr="003A169D" w:rsidRDefault="003A169D" w:rsidP="003A169D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One student reported losing all of her edTPA work.  Remind students to save save save.</w:t>
            </w:r>
          </w:p>
          <w:p w14:paraId="74F192BC" w14:textId="77777777" w:rsidR="003A169D" w:rsidRDefault="003A169D" w:rsidP="00D1705A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3A169D" w14:paraId="021D0D02" w14:textId="77777777" w:rsidTr="00024182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68A3" w14:textId="77777777" w:rsidR="003A169D" w:rsidRDefault="003A169D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5A6" w14:textId="77777777" w:rsidR="003A169D" w:rsidRDefault="003A169D" w:rsidP="003A169D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44E2">
              <w:rPr>
                <w:rFonts w:ascii="Bookman Old Style" w:hAnsi="Bookman Old Style"/>
                <w:b/>
                <w:sz w:val="20"/>
                <w:szCs w:val="20"/>
              </w:rPr>
              <w:t>Coming Attractions</w:t>
            </w:r>
          </w:p>
          <w:p w14:paraId="0E6CD748" w14:textId="77777777" w:rsidR="003A169D" w:rsidRPr="003A169D" w:rsidRDefault="003A169D" w:rsidP="003A169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A169D">
              <w:rPr>
                <w:rFonts w:ascii="Bookman Old Style" w:hAnsi="Bookman Old Style"/>
                <w:sz w:val="20"/>
                <w:szCs w:val="20"/>
              </w:rPr>
              <w:t>edTPA training at ST. Joe’s March 9</w:t>
            </w:r>
          </w:p>
          <w:p w14:paraId="78819884" w14:textId="42062D0D" w:rsidR="003A169D" w:rsidRPr="003A169D" w:rsidRDefault="003A169D" w:rsidP="003A169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A169D">
              <w:rPr>
                <w:rFonts w:ascii="Bookman Old Style" w:hAnsi="Bookman Old Style"/>
                <w:sz w:val="20"/>
                <w:szCs w:val="20"/>
              </w:rPr>
              <w:t xml:space="preserve">CTEC meeting May 10: gallery walk and celebration. Focus: discussion of sharing specific research:  what </w:t>
            </w:r>
            <w:r w:rsidR="008D6F3E">
              <w:rPr>
                <w:rFonts w:ascii="Bookman Old Style" w:hAnsi="Bookman Old Style"/>
                <w:sz w:val="20"/>
                <w:szCs w:val="20"/>
              </w:rPr>
              <w:t xml:space="preserve">theory/research </w:t>
            </w:r>
            <w:r>
              <w:rPr>
                <w:rFonts w:ascii="Bookman Old Style" w:hAnsi="Bookman Old Style"/>
                <w:sz w:val="20"/>
                <w:szCs w:val="20"/>
              </w:rPr>
              <w:t>do we have in</w:t>
            </w:r>
            <w:r w:rsidRPr="003A169D">
              <w:rPr>
                <w:rFonts w:ascii="Bookman Old Style" w:hAnsi="Bookman Old Style"/>
                <w:sz w:val="20"/>
                <w:szCs w:val="20"/>
              </w:rPr>
              <w:t xml:space="preserve"> common?</w:t>
            </w:r>
          </w:p>
          <w:p w14:paraId="53AF2B4D" w14:textId="218B4FD0" w:rsidR="003A169D" w:rsidRPr="003A169D" w:rsidRDefault="003A169D" w:rsidP="003A169D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79F1C08" w14:textId="380769FB" w:rsidR="003D4799" w:rsidRDefault="003A169D">
      <w:r>
        <w:t>-Respectfully submitted by Sue Addison</w:t>
      </w:r>
    </w:p>
    <w:p w14:paraId="620DAF8D" w14:textId="77777777" w:rsidR="003D4799" w:rsidRDefault="003D4799">
      <w:pPr>
        <w:spacing w:line="259" w:lineRule="auto"/>
      </w:pPr>
      <w:r>
        <w:br w:type="page"/>
      </w:r>
    </w:p>
    <w:p w14:paraId="2C0A4260" w14:textId="77777777" w:rsidR="00C21BF7" w:rsidRDefault="00C21BF7"/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8460"/>
        <w:gridCol w:w="1530"/>
      </w:tblGrid>
      <w:tr w:rsidR="00750342" w14:paraId="114DF10D" w14:textId="77777777" w:rsidTr="009E44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4F7" w14:textId="77777777" w:rsidR="00750342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B33" w14:textId="78EC9B12" w:rsidR="00ED56B3" w:rsidRDefault="00932EB8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44E2">
              <w:rPr>
                <w:rFonts w:ascii="Bookman Old Style" w:hAnsi="Bookman Old Style"/>
                <w:b/>
                <w:sz w:val="20"/>
                <w:szCs w:val="20"/>
              </w:rPr>
              <w:t>Coming Attractions</w:t>
            </w:r>
            <w:r w:rsidR="00FF5F5E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14:paraId="5DADBDD7" w14:textId="64DA495F" w:rsidR="00CF3FF0" w:rsidRDefault="00173240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73240">
              <w:rPr>
                <w:rFonts w:ascii="Bookman Old Style" w:hAnsi="Bookman Old Style"/>
                <w:b/>
                <w:bCs/>
                <w:sz w:val="20"/>
                <w:szCs w:val="20"/>
              </w:rPr>
              <w:t>edTPA Local Evaluation Training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, </w:t>
            </w:r>
            <w:r w:rsidR="00CF3FF0">
              <w:rPr>
                <w:rFonts w:ascii="Bookman Old Style" w:hAnsi="Bookman Old Style"/>
                <w:sz w:val="20"/>
                <w:szCs w:val="20"/>
              </w:rPr>
              <w:t>March 9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</w:rPr>
              <w:t xml:space="preserve">th,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9 – 3 pm, St Joseph’s University, </w:t>
            </w:r>
            <w:hyperlink r:id="rId8" w:history="1">
              <w:r w:rsidRPr="00173240">
                <w:rPr>
                  <w:rStyle w:val="Hyperlink"/>
                  <w:rFonts w:ascii="Bookman Old Style" w:hAnsi="Bookman Old Style"/>
                  <w:sz w:val="20"/>
                  <w:szCs w:val="20"/>
                </w:rPr>
                <w:t>registration link</w:t>
              </w:r>
            </w:hyperlink>
            <w:r>
              <w:rPr>
                <w:rFonts w:ascii="Bookman Old Style" w:hAnsi="Bookman Old Style"/>
                <w:sz w:val="20"/>
                <w:szCs w:val="20"/>
              </w:rPr>
              <w:t xml:space="preserve"> (furlough day for CCSU)</w:t>
            </w:r>
          </w:p>
          <w:p w14:paraId="253DB19B" w14:textId="77777777" w:rsidR="00173240" w:rsidRDefault="00173240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64F4216" w14:textId="77777777" w:rsidR="00E8589E" w:rsidRDefault="002E7525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E7525">
              <w:rPr>
                <w:rFonts w:ascii="Bookman Old Style" w:hAnsi="Bookman Old Style"/>
                <w:b/>
                <w:sz w:val="20"/>
                <w:szCs w:val="20"/>
              </w:rPr>
              <w:t>NNER Retreat on Monday, April 30 from 1:00 – 4:00 in the Constitution Room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—This will be a great opportunity to bring in many CCSU and K-12 partner colleagues to learn more and consider how we can bring the NNER agenda to life here. (Prizes for bringing </w:t>
            </w:r>
            <w:r w:rsidR="00E8589E">
              <w:rPr>
                <w:rFonts w:ascii="Bookman Old Style" w:hAnsi="Bookman Old Style"/>
                <w:sz w:val="20"/>
                <w:szCs w:val="20"/>
              </w:rPr>
              <w:t>folks to this!)</w:t>
            </w:r>
          </w:p>
          <w:p w14:paraId="59A72C6B" w14:textId="77777777" w:rsidR="00E8589E" w:rsidRDefault="00E8589E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2B3B9674" w14:textId="280799B0" w:rsidR="00BB1E38" w:rsidRDefault="00173240" w:rsidP="00FF5F5E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F5F5E">
              <w:rPr>
                <w:rFonts w:ascii="Bookman Old Style" w:hAnsi="Bookman Old Style"/>
                <w:b/>
                <w:sz w:val="20"/>
                <w:szCs w:val="20"/>
              </w:rPr>
              <w:t xml:space="preserve">CTEC </w:t>
            </w:r>
            <w:r w:rsidR="00E8589E" w:rsidRPr="00FF5F5E">
              <w:rPr>
                <w:rFonts w:ascii="Bookman Old Style" w:hAnsi="Bookman Old Style"/>
                <w:b/>
                <w:sz w:val="20"/>
                <w:szCs w:val="20"/>
              </w:rPr>
              <w:t>May</w:t>
            </w:r>
            <w:r w:rsidRPr="00FF5F5E">
              <w:rPr>
                <w:rFonts w:ascii="Bookman Old Style" w:hAnsi="Bookman Old Style"/>
                <w:b/>
                <w:sz w:val="20"/>
                <w:szCs w:val="20"/>
              </w:rPr>
              <w:t xml:space="preserve"> Meeting</w:t>
            </w:r>
            <w:r w:rsidR="00FF5F5E">
              <w:rPr>
                <w:rFonts w:ascii="Bookman Old Style" w:hAnsi="Bookman Old Style"/>
                <w:b/>
                <w:sz w:val="20"/>
                <w:szCs w:val="20"/>
              </w:rPr>
              <w:t xml:space="preserve">: </w:t>
            </w:r>
            <w:r w:rsidR="00FF5F5E" w:rsidRPr="00FF5F5E">
              <w:rPr>
                <w:rFonts w:ascii="Bookman Old Style" w:hAnsi="Bookman Old Style"/>
                <w:b/>
                <w:sz w:val="20"/>
                <w:szCs w:val="20"/>
              </w:rPr>
              <w:t>Gallery Walk &amp; Celebration! Thursday, May 10 1- 4 pm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 xml:space="preserve">-Focus: on identifying shared and discipline-specific </w:t>
            </w:r>
            <w:r w:rsidR="00E8589E" w:rsidRPr="00FF5F5E">
              <w:rPr>
                <w:rFonts w:ascii="Bookman Old Style" w:hAnsi="Bookman Old Style"/>
                <w:sz w:val="20"/>
                <w:szCs w:val="20"/>
              </w:rPr>
              <w:t>research a</w:t>
            </w:r>
            <w:r w:rsidR="00FF5F5E">
              <w:rPr>
                <w:rFonts w:ascii="Bookman Old Style" w:hAnsi="Bookman Old Style"/>
                <w:sz w:val="20"/>
                <w:szCs w:val="20"/>
              </w:rPr>
              <w:t>nd theory to better prepare our teacher candidates for success in edTPA &amp; beyond; celebrating our accomplishments, and planning our future work; all faculty &amp; K-12 partners are welcome!</w:t>
            </w:r>
          </w:p>
          <w:p w14:paraId="63B0299D" w14:textId="43B8FFD6" w:rsidR="00FF5F5E" w:rsidRPr="00FF5F5E" w:rsidRDefault="00FF5F5E" w:rsidP="00FF5F5E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CC7" w14:textId="77777777" w:rsidR="00750342" w:rsidRPr="00E258FA" w:rsidRDefault="002D4F46" w:rsidP="002D4F46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Information and MARK YOUR CALENDARS</w:t>
            </w:r>
          </w:p>
        </w:tc>
      </w:tr>
      <w:tr w:rsidR="00750342" w14:paraId="2999EE80" w14:textId="77777777" w:rsidTr="00C21BF7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42A1" w14:textId="77777777" w:rsidR="00750342" w:rsidRPr="009E44E2" w:rsidRDefault="00750342" w:rsidP="006B4054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290" w14:textId="3B3D5B34" w:rsidR="00750342" w:rsidRDefault="0075034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meetings for </w:t>
            </w:r>
            <w:r w:rsidR="004948E7"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2017-2018</w:t>
            </w: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academic year</w:t>
            </w:r>
            <w:r w:rsidRP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(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3:15 – 5:00 in 1849 room of Student Center): March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22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, April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26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, </w:t>
            </w:r>
            <w:r w:rsidR="00970A2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and 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May 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>10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(1:00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-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FF5F5E">
              <w:rPr>
                <w:rFonts w:ascii="Bookman Old Style" w:eastAsia="Calibri" w:hAnsi="Bookman Old Style" w:cs="Times New Roman"/>
                <w:sz w:val="20"/>
                <w:szCs w:val="20"/>
              </w:rPr>
              <w:t>4:00 pm in Barnard Hall</w:t>
            </w:r>
            <w:r w:rsidR="00C21CE3">
              <w:rPr>
                <w:rFonts w:ascii="Bookman Old Style" w:eastAsia="Calibri" w:hAnsi="Bookman Old Style" w:cs="Times New Roman"/>
                <w:sz w:val="20"/>
                <w:szCs w:val="20"/>
              </w:rPr>
              <w:t>, Room 222)</w:t>
            </w:r>
          </w:p>
          <w:p w14:paraId="7E8C9C64" w14:textId="77777777" w:rsidR="009503CB" w:rsidRPr="00E258FA" w:rsidRDefault="009503CB" w:rsidP="009503CB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D5D" w14:textId="77777777" w:rsidR="00750342" w:rsidRDefault="0075034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Information</w:t>
            </w:r>
          </w:p>
        </w:tc>
      </w:tr>
      <w:tr w:rsidR="00750342" w14:paraId="7F67C250" w14:textId="77777777" w:rsidTr="00D94D4E">
        <w:trPr>
          <w:trHeight w:val="35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65C4" w14:textId="77777777" w:rsidR="00750342" w:rsidRDefault="00750342" w:rsidP="00E258FA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</w:t>
            </w:r>
            <w:r w:rsid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Goals for 2017-2018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BB3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Fully engage with NNER to support engagement with our K-12 community partners and program redesign. </w:t>
            </w:r>
          </w:p>
          <w:p w14:paraId="25C64E0C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Integrate carefully sequenced tasks and assessments in our current programs to ensure candidate preparation for edTPA (national scoring required beginning Fall 2018; score consequential for certification by Fall 2019).</w:t>
            </w:r>
          </w:p>
          <w:p w14:paraId="43ACE8CB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Redesign teacher preparation programs focusing on an integrated bachelor’s/master’s degree design.</w:t>
            </w:r>
          </w:p>
          <w:p w14:paraId="5B6B83B1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Propose a new integrated bachelor’s/master’s degree program to certify candidates in special education. </w:t>
            </w:r>
          </w:p>
          <w:p w14:paraId="46A8163C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Enhance recruitment and retention of teacher candidates with special focus on minority candidates and candidates in shortage areas. </w:t>
            </w:r>
          </w:p>
          <w:p w14:paraId="3969DC15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our data and practices in light of standards for CAEP accreditation.</w:t>
            </w:r>
          </w:p>
          <w:p w14:paraId="2D2CD4C4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Better define and more fully activate K-12 and University partnerships. </w:t>
            </w:r>
          </w:p>
          <w:p w14:paraId="2BEB3374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Update the CTEC by-laws.</w:t>
            </w:r>
          </w:p>
          <w:p w14:paraId="7921B138" w14:textId="77777777"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Execute CTEC role in CCSU curriculum processes related to teacher education.</w:t>
            </w:r>
          </w:p>
          <w:p w14:paraId="1C98A782" w14:textId="77777777" w:rsidR="00683EDA" w:rsidRPr="009503CB" w:rsidRDefault="00683EDA" w:rsidP="009503CB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ways to address student financial concerns related to Taskstream, fingerprinting, testing,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AF0" w14:textId="77777777" w:rsidR="00E258FA" w:rsidRDefault="00E258FA" w:rsidP="005E0817">
            <w:pPr>
              <w:spacing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</w:tr>
    </w:tbl>
    <w:p w14:paraId="4A96820E" w14:textId="77777777" w:rsidR="00FA218C" w:rsidRPr="002152CF" w:rsidRDefault="00FA218C" w:rsidP="00D94D4E">
      <w:pPr>
        <w:spacing w:line="259" w:lineRule="auto"/>
        <w:rPr>
          <w:rFonts w:ascii="Times New Roman" w:eastAsia="Times New Roman" w:hAnsi="Times New Roman" w:cs="Times New Roman"/>
        </w:rPr>
      </w:pPr>
    </w:p>
    <w:sectPr w:rsidR="00FA218C" w:rsidRPr="002152CF" w:rsidSect="00683EDA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7D5BD" w14:textId="77777777" w:rsidR="005709AB" w:rsidRDefault="005709AB">
      <w:pPr>
        <w:spacing w:after="0" w:line="240" w:lineRule="auto"/>
      </w:pPr>
      <w:r>
        <w:separator/>
      </w:r>
    </w:p>
  </w:endnote>
  <w:endnote w:type="continuationSeparator" w:id="0">
    <w:p w14:paraId="6B463F91" w14:textId="77777777" w:rsidR="005709AB" w:rsidRDefault="0057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73B5F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D7E8D" w14:textId="77777777" w:rsidR="005709AB" w:rsidRDefault="005709AB">
      <w:pPr>
        <w:spacing w:after="0" w:line="240" w:lineRule="auto"/>
      </w:pPr>
      <w:r>
        <w:separator/>
      </w:r>
    </w:p>
  </w:footnote>
  <w:footnote w:type="continuationSeparator" w:id="0">
    <w:p w14:paraId="5FD24708" w14:textId="77777777" w:rsidR="005709AB" w:rsidRDefault="0057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567A5" w14:textId="77777777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61DBB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8092" w14:textId="77777777" w:rsidR="00102FA5" w:rsidRDefault="00753A44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3F4E5338">
        <v:rect id="_x0000_i1025" style="width:0;height:1.5pt" o:hralign="center" o:hrstd="t" o:hr="t" fillcolor="#a0a0a0" stroked="f"/>
      </w:pict>
    </w:r>
  </w:p>
  <w:p w14:paraId="1EAA3D5A" w14:textId="77777777" w:rsidR="00102FA5" w:rsidRPr="00C03896" w:rsidRDefault="00102FA5" w:rsidP="00102FA5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753A44">
      <w:rPr>
        <w:sz w:val="28"/>
        <w:szCs w:val="28"/>
      </w:rPr>
      <w:pict w14:anchorId="3ADB5D51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06A2"/>
    <w:multiLevelType w:val="hybridMultilevel"/>
    <w:tmpl w:val="3CB0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E028D"/>
    <w:multiLevelType w:val="hybridMultilevel"/>
    <w:tmpl w:val="04AC79BC"/>
    <w:lvl w:ilvl="0" w:tplc="B044BB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4A7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0F3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1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1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CF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59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86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6B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5BC9"/>
    <w:multiLevelType w:val="hybridMultilevel"/>
    <w:tmpl w:val="F3C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21B6"/>
    <w:multiLevelType w:val="hybridMultilevel"/>
    <w:tmpl w:val="F880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6"/>
  </w:num>
  <w:num w:numId="4">
    <w:abstractNumId w:val="2"/>
  </w:num>
  <w:num w:numId="5">
    <w:abstractNumId w:val="23"/>
  </w:num>
  <w:num w:numId="6">
    <w:abstractNumId w:val="11"/>
  </w:num>
  <w:num w:numId="7">
    <w:abstractNumId w:val="1"/>
  </w:num>
  <w:num w:numId="8">
    <w:abstractNumId w:val="3"/>
  </w:num>
  <w:num w:numId="9">
    <w:abstractNumId w:val="15"/>
  </w:num>
  <w:num w:numId="10">
    <w:abstractNumId w:val="24"/>
  </w:num>
  <w:num w:numId="11">
    <w:abstractNumId w:val="13"/>
  </w:num>
  <w:num w:numId="12">
    <w:abstractNumId w:val="9"/>
  </w:num>
  <w:num w:numId="13">
    <w:abstractNumId w:val="4"/>
  </w:num>
  <w:num w:numId="14">
    <w:abstractNumId w:val="22"/>
  </w:num>
  <w:num w:numId="15">
    <w:abstractNumId w:val="19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20"/>
  </w:num>
  <w:num w:numId="21">
    <w:abstractNumId w:val="14"/>
  </w:num>
  <w:num w:numId="22">
    <w:abstractNumId w:val="10"/>
  </w:num>
  <w:num w:numId="23">
    <w:abstractNumId w:val="12"/>
  </w:num>
  <w:num w:numId="24">
    <w:abstractNumId w:val="6"/>
  </w:num>
  <w:num w:numId="25">
    <w:abstractNumId w:val="27"/>
  </w:num>
  <w:num w:numId="26">
    <w:abstractNumId w:val="21"/>
  </w:num>
  <w:num w:numId="27">
    <w:abstractNumId w:val="25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2"/>
    <w:rsid w:val="00024182"/>
    <w:rsid w:val="00066AB0"/>
    <w:rsid w:val="000756AB"/>
    <w:rsid w:val="000A73CB"/>
    <w:rsid w:val="00102FA5"/>
    <w:rsid w:val="0011548E"/>
    <w:rsid w:val="0015728A"/>
    <w:rsid w:val="00173240"/>
    <w:rsid w:val="00183159"/>
    <w:rsid w:val="00190FE7"/>
    <w:rsid w:val="001B15B6"/>
    <w:rsid w:val="001B613E"/>
    <w:rsid w:val="001B791B"/>
    <w:rsid w:val="00211956"/>
    <w:rsid w:val="00214231"/>
    <w:rsid w:val="002152CF"/>
    <w:rsid w:val="00254E97"/>
    <w:rsid w:val="00262A28"/>
    <w:rsid w:val="002C035E"/>
    <w:rsid w:val="002D1A39"/>
    <w:rsid w:val="002D2C2F"/>
    <w:rsid w:val="002D4F46"/>
    <w:rsid w:val="002E7525"/>
    <w:rsid w:val="003068D4"/>
    <w:rsid w:val="0032298E"/>
    <w:rsid w:val="00355677"/>
    <w:rsid w:val="00374887"/>
    <w:rsid w:val="003850CB"/>
    <w:rsid w:val="00385B3B"/>
    <w:rsid w:val="003945E5"/>
    <w:rsid w:val="003A169D"/>
    <w:rsid w:val="003A540B"/>
    <w:rsid w:val="003A6327"/>
    <w:rsid w:val="003D1049"/>
    <w:rsid w:val="003D4799"/>
    <w:rsid w:val="003F6C13"/>
    <w:rsid w:val="00416B47"/>
    <w:rsid w:val="0042420E"/>
    <w:rsid w:val="00433656"/>
    <w:rsid w:val="00437271"/>
    <w:rsid w:val="004948E7"/>
    <w:rsid w:val="004A769B"/>
    <w:rsid w:val="004B2B53"/>
    <w:rsid w:val="004C44AF"/>
    <w:rsid w:val="004C7190"/>
    <w:rsid w:val="004D0191"/>
    <w:rsid w:val="004D11A3"/>
    <w:rsid w:val="004F58C9"/>
    <w:rsid w:val="00500092"/>
    <w:rsid w:val="00513FB4"/>
    <w:rsid w:val="00551007"/>
    <w:rsid w:val="005709AB"/>
    <w:rsid w:val="00596B1D"/>
    <w:rsid w:val="005B4550"/>
    <w:rsid w:val="005E0817"/>
    <w:rsid w:val="00607855"/>
    <w:rsid w:val="00625D18"/>
    <w:rsid w:val="00627739"/>
    <w:rsid w:val="006415ED"/>
    <w:rsid w:val="0065268C"/>
    <w:rsid w:val="00655F1A"/>
    <w:rsid w:val="00683EDA"/>
    <w:rsid w:val="00693171"/>
    <w:rsid w:val="00695134"/>
    <w:rsid w:val="006B2C08"/>
    <w:rsid w:val="006B4054"/>
    <w:rsid w:val="006C00C0"/>
    <w:rsid w:val="006C0AEC"/>
    <w:rsid w:val="006D105E"/>
    <w:rsid w:val="006F2F12"/>
    <w:rsid w:val="006F47B0"/>
    <w:rsid w:val="00714055"/>
    <w:rsid w:val="00727686"/>
    <w:rsid w:val="00750342"/>
    <w:rsid w:val="00750A95"/>
    <w:rsid w:val="00753A44"/>
    <w:rsid w:val="00775E4E"/>
    <w:rsid w:val="007914F6"/>
    <w:rsid w:val="007C0DBB"/>
    <w:rsid w:val="007F53B8"/>
    <w:rsid w:val="00810F3D"/>
    <w:rsid w:val="0082006A"/>
    <w:rsid w:val="00830E0F"/>
    <w:rsid w:val="00841C0F"/>
    <w:rsid w:val="008548B5"/>
    <w:rsid w:val="00885F77"/>
    <w:rsid w:val="008D48B1"/>
    <w:rsid w:val="008D6F3E"/>
    <w:rsid w:val="008E199E"/>
    <w:rsid w:val="0091266D"/>
    <w:rsid w:val="0092394D"/>
    <w:rsid w:val="00932EB8"/>
    <w:rsid w:val="00942BE1"/>
    <w:rsid w:val="0094713F"/>
    <w:rsid w:val="009503CB"/>
    <w:rsid w:val="00970A26"/>
    <w:rsid w:val="00991442"/>
    <w:rsid w:val="009B26E4"/>
    <w:rsid w:val="009C440C"/>
    <w:rsid w:val="009D6695"/>
    <w:rsid w:val="009D790B"/>
    <w:rsid w:val="009E261E"/>
    <w:rsid w:val="009E44E2"/>
    <w:rsid w:val="009F4BB4"/>
    <w:rsid w:val="00A07D98"/>
    <w:rsid w:val="00A17B96"/>
    <w:rsid w:val="00A74D53"/>
    <w:rsid w:val="00AA331D"/>
    <w:rsid w:val="00AA6073"/>
    <w:rsid w:val="00AF2270"/>
    <w:rsid w:val="00B528E8"/>
    <w:rsid w:val="00B90BB7"/>
    <w:rsid w:val="00B92FBC"/>
    <w:rsid w:val="00BA43DE"/>
    <w:rsid w:val="00BB1E38"/>
    <w:rsid w:val="00BE61C6"/>
    <w:rsid w:val="00C17A61"/>
    <w:rsid w:val="00C21BF7"/>
    <w:rsid w:val="00C21CE3"/>
    <w:rsid w:val="00C269D6"/>
    <w:rsid w:val="00C41149"/>
    <w:rsid w:val="00C427DE"/>
    <w:rsid w:val="00C9331E"/>
    <w:rsid w:val="00CE21B3"/>
    <w:rsid w:val="00CE6862"/>
    <w:rsid w:val="00CF0F3D"/>
    <w:rsid w:val="00CF3FF0"/>
    <w:rsid w:val="00D141C7"/>
    <w:rsid w:val="00D16AEE"/>
    <w:rsid w:val="00D1705A"/>
    <w:rsid w:val="00D42D75"/>
    <w:rsid w:val="00D822FA"/>
    <w:rsid w:val="00D871A3"/>
    <w:rsid w:val="00D94D4E"/>
    <w:rsid w:val="00DE3708"/>
    <w:rsid w:val="00DF2F5C"/>
    <w:rsid w:val="00DF5436"/>
    <w:rsid w:val="00E14388"/>
    <w:rsid w:val="00E258FA"/>
    <w:rsid w:val="00E3123B"/>
    <w:rsid w:val="00E61302"/>
    <w:rsid w:val="00E74F6D"/>
    <w:rsid w:val="00E8589E"/>
    <w:rsid w:val="00EB34A6"/>
    <w:rsid w:val="00EC69C8"/>
    <w:rsid w:val="00ED56B3"/>
    <w:rsid w:val="00EF4130"/>
    <w:rsid w:val="00F01B84"/>
    <w:rsid w:val="00F22348"/>
    <w:rsid w:val="00F25CBA"/>
    <w:rsid w:val="00F36351"/>
    <w:rsid w:val="00F42655"/>
    <w:rsid w:val="00F42E88"/>
    <w:rsid w:val="00F50640"/>
    <w:rsid w:val="00F66DCC"/>
    <w:rsid w:val="00F7720A"/>
    <w:rsid w:val="00F95A12"/>
    <w:rsid w:val="00FA218C"/>
    <w:rsid w:val="00FC0076"/>
    <w:rsid w:val="00FD43BE"/>
    <w:rsid w:val="00FE089A"/>
    <w:rsid w:val="00FE38F2"/>
    <w:rsid w:val="00FF5F5E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."/>
  <w:listSeparator w:val=","/>
  <w14:docId w14:val="33FA4342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1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52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1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31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24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0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40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4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9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www.surveymonkey.com%2Fr%2FWD3MDBZ&amp;data=01%7C01%7Chortonm%40ccsu.edu%7C5a859d54434f479ab55d08d5722044df%7C2329c570b5804223803b427d800e81b6%7C0&amp;sdata=gc3ZEFsDCPGsp7MDGXCbugOQrvXkCD4dogjSkZ0Xc%2Fw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su.edu/english/tagwritingcontes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Bigley, Mary Pat (School of Ed and Professional Studies)</cp:lastModifiedBy>
  <cp:revision>2</cp:revision>
  <cp:lastPrinted>2018-02-20T18:56:00Z</cp:lastPrinted>
  <dcterms:created xsi:type="dcterms:W3CDTF">2018-08-24T15:20:00Z</dcterms:created>
  <dcterms:modified xsi:type="dcterms:W3CDTF">2018-08-24T15:20:00Z</dcterms:modified>
</cp:coreProperties>
</file>