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342" w:rsidRPr="00F66DCC" w:rsidRDefault="00750342" w:rsidP="00750342">
      <w:pPr>
        <w:spacing w:after="200" w:line="276" w:lineRule="auto"/>
        <w:jc w:val="center"/>
        <w:rPr>
          <w:rFonts w:ascii="Bookman Old Style" w:eastAsia="Calibri" w:hAnsi="Bookman Old Style" w:cs="Times New Roman"/>
          <w:b/>
          <w:sz w:val="24"/>
          <w:szCs w:val="24"/>
        </w:rPr>
      </w:pPr>
      <w:r w:rsidRPr="00F66DCC">
        <w:rPr>
          <w:rFonts w:ascii="Bookman Old Style" w:eastAsia="Calibri" w:hAnsi="Bookman Old Style" w:cs="Times New Roman"/>
          <w:b/>
          <w:sz w:val="24"/>
          <w:szCs w:val="24"/>
        </w:rPr>
        <w:t>Central Teacher Education Committee (CTEC)</w:t>
      </w:r>
    </w:p>
    <w:p w:rsidR="00750342" w:rsidRDefault="00B150BF" w:rsidP="00F66DCC">
      <w:pPr>
        <w:spacing w:after="200" w:line="276" w:lineRule="auto"/>
        <w:jc w:val="center"/>
        <w:rPr>
          <w:rFonts w:ascii="Bookman Old Style" w:eastAsia="Calibri" w:hAnsi="Bookman Old Style" w:cs="Times New Roman"/>
          <w:b/>
          <w:sz w:val="20"/>
          <w:szCs w:val="20"/>
        </w:rPr>
      </w:pPr>
      <w:r w:rsidRPr="00B150BF">
        <w:rPr>
          <w:rFonts w:ascii="Bookman Old Style" w:eastAsia="Calibri" w:hAnsi="Bookman Old Style" w:cs="Times New Roman"/>
          <w:b/>
          <w:color w:val="FF0000"/>
          <w:sz w:val="20"/>
          <w:szCs w:val="20"/>
        </w:rPr>
        <w:t>MINUTES</w:t>
      </w:r>
      <w:r>
        <w:rPr>
          <w:rFonts w:ascii="Bookman Old Style" w:eastAsia="Calibri" w:hAnsi="Bookman Old Style" w:cs="Times New Roman"/>
          <w:b/>
          <w:sz w:val="20"/>
          <w:szCs w:val="20"/>
        </w:rPr>
        <w:t xml:space="preserve"> for </w:t>
      </w:r>
      <w:r w:rsidR="003850CB">
        <w:rPr>
          <w:rFonts w:ascii="Bookman Old Style" w:eastAsia="Calibri" w:hAnsi="Bookman Old Style" w:cs="Times New Roman"/>
          <w:b/>
          <w:sz w:val="20"/>
          <w:szCs w:val="20"/>
        </w:rPr>
        <w:t>October 19</w:t>
      </w:r>
      <w:r w:rsidR="00183159">
        <w:rPr>
          <w:rFonts w:ascii="Bookman Old Style" w:eastAsia="Calibri" w:hAnsi="Bookman Old Style" w:cs="Times New Roman"/>
          <w:b/>
          <w:sz w:val="20"/>
          <w:szCs w:val="20"/>
        </w:rPr>
        <w:t>,</w:t>
      </w:r>
      <w:r w:rsidR="002D1A39">
        <w:rPr>
          <w:rFonts w:ascii="Bookman Old Style" w:eastAsia="Calibri" w:hAnsi="Bookman Old Style" w:cs="Times New Roman"/>
          <w:b/>
          <w:sz w:val="20"/>
          <w:szCs w:val="20"/>
        </w:rPr>
        <w:t xml:space="preserve"> 2017</w:t>
      </w:r>
      <w:r w:rsidR="00750342">
        <w:rPr>
          <w:rFonts w:ascii="Bookman Old Style" w:eastAsia="Calibri" w:hAnsi="Bookman Old Style" w:cs="Times New Roman"/>
          <w:b/>
          <w:sz w:val="20"/>
          <w:szCs w:val="20"/>
        </w:rPr>
        <w:t xml:space="preserve">, 3:15 – 5:00, </w:t>
      </w:r>
      <w:r w:rsidR="002D1A39">
        <w:rPr>
          <w:rFonts w:ascii="Bookman Old Style" w:eastAsia="Calibri" w:hAnsi="Bookman Old Style" w:cs="Times New Roman"/>
          <w:b/>
          <w:sz w:val="20"/>
          <w:szCs w:val="20"/>
        </w:rPr>
        <w:t>1849</w:t>
      </w:r>
      <w:r w:rsidR="00E14388">
        <w:rPr>
          <w:rFonts w:ascii="Bookman Old Style" w:eastAsia="Calibri" w:hAnsi="Bookman Old Style" w:cs="Times New Roman"/>
          <w:b/>
          <w:sz w:val="20"/>
          <w:szCs w:val="20"/>
        </w:rPr>
        <w:t xml:space="preserve"> Room, Student Center </w:t>
      </w:r>
      <w:r w:rsidR="002D1A39">
        <w:rPr>
          <w:rFonts w:ascii="Bookman Old Style" w:eastAsia="Calibri" w:hAnsi="Bookman Old Style" w:cs="Times New Roman"/>
          <w:b/>
          <w:sz w:val="20"/>
          <w:szCs w:val="20"/>
        </w:rPr>
        <w:t>(upstairs, second floor)</w:t>
      </w:r>
    </w:p>
    <w:tbl>
      <w:tblPr>
        <w:tblStyle w:val="TableGrid1"/>
        <w:tblW w:w="10890" w:type="dxa"/>
        <w:tblInd w:w="-185" w:type="dxa"/>
        <w:tblLayout w:type="fixed"/>
        <w:tblLook w:val="04A0" w:firstRow="1" w:lastRow="0" w:firstColumn="1" w:lastColumn="0" w:noHBand="0" w:noVBand="1"/>
      </w:tblPr>
      <w:tblGrid>
        <w:gridCol w:w="807"/>
        <w:gridCol w:w="9813"/>
        <w:gridCol w:w="236"/>
        <w:gridCol w:w="34"/>
      </w:tblGrid>
      <w:tr w:rsidR="00750342" w:rsidTr="00B56112">
        <w:tc>
          <w:tcPr>
            <w:tcW w:w="10890" w:type="dxa"/>
            <w:gridSpan w:val="4"/>
            <w:tcBorders>
              <w:top w:val="single" w:sz="4" w:space="0" w:color="auto"/>
              <w:left w:val="single" w:sz="4" w:space="0" w:color="auto"/>
              <w:bottom w:val="single" w:sz="4" w:space="0" w:color="auto"/>
              <w:right w:val="single" w:sz="4" w:space="0" w:color="auto"/>
            </w:tcBorders>
          </w:tcPr>
          <w:p w:rsidR="00750342" w:rsidRDefault="00750342">
            <w:pPr>
              <w:spacing w:line="240" w:lineRule="auto"/>
              <w:jc w:val="center"/>
              <w:rPr>
                <w:rFonts w:ascii="Bookman Old Style" w:eastAsia="Calibri" w:hAnsi="Bookman Old Style" w:cs="Times New Roman"/>
                <w:b/>
                <w:sz w:val="20"/>
                <w:szCs w:val="20"/>
              </w:rPr>
            </w:pPr>
          </w:p>
        </w:tc>
      </w:tr>
      <w:tr w:rsidR="00B150BF" w:rsidRPr="00B150BF" w:rsidTr="00B56112">
        <w:trPr>
          <w:trHeight w:val="70"/>
        </w:trPr>
        <w:tc>
          <w:tcPr>
            <w:tcW w:w="10890" w:type="dxa"/>
            <w:gridSpan w:val="4"/>
            <w:tcBorders>
              <w:top w:val="single" w:sz="4" w:space="0" w:color="auto"/>
              <w:left w:val="single" w:sz="4" w:space="0" w:color="auto"/>
              <w:bottom w:val="single" w:sz="4" w:space="0" w:color="auto"/>
              <w:right w:val="single" w:sz="4" w:space="0" w:color="auto"/>
            </w:tcBorders>
          </w:tcPr>
          <w:p w:rsidR="00B150BF" w:rsidRDefault="00B150BF">
            <w:pPr>
              <w:spacing w:line="240" w:lineRule="auto"/>
              <w:jc w:val="center"/>
              <w:rPr>
                <w:rFonts w:ascii="Bookman Old Style" w:eastAsia="Calibri" w:hAnsi="Bookman Old Style" w:cs="Times New Roman"/>
                <w:b/>
                <w:sz w:val="20"/>
                <w:szCs w:val="20"/>
              </w:rPr>
            </w:pPr>
          </w:p>
        </w:tc>
      </w:tr>
      <w:tr w:rsidR="00750342" w:rsidTr="005E622A">
        <w:trPr>
          <w:gridAfter w:val="1"/>
          <w:wAfter w:w="34" w:type="dxa"/>
        </w:trPr>
        <w:tc>
          <w:tcPr>
            <w:tcW w:w="807"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jc w:val="both"/>
              <w:rPr>
                <w:rFonts w:ascii="Bookman Old Style" w:eastAsia="Calibri" w:hAnsi="Bookman Old Style" w:cs="Times New Roman"/>
                <w:b/>
                <w:sz w:val="20"/>
                <w:szCs w:val="20"/>
              </w:rPr>
            </w:pPr>
          </w:p>
        </w:tc>
        <w:tc>
          <w:tcPr>
            <w:tcW w:w="9813"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b/>
                <w:sz w:val="20"/>
                <w:szCs w:val="20"/>
              </w:rPr>
            </w:pPr>
          </w:p>
        </w:tc>
        <w:tc>
          <w:tcPr>
            <w:tcW w:w="236"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b/>
                <w:sz w:val="20"/>
                <w:szCs w:val="20"/>
              </w:rPr>
            </w:pPr>
          </w:p>
        </w:tc>
      </w:tr>
      <w:tr w:rsidR="00750342" w:rsidTr="005E622A">
        <w:trPr>
          <w:gridAfter w:val="1"/>
          <w:wAfter w:w="34" w:type="dxa"/>
          <w:trHeight w:val="368"/>
        </w:trPr>
        <w:tc>
          <w:tcPr>
            <w:tcW w:w="807" w:type="dxa"/>
            <w:tcBorders>
              <w:top w:val="single" w:sz="4" w:space="0" w:color="auto"/>
              <w:left w:val="single" w:sz="4" w:space="0" w:color="auto"/>
              <w:bottom w:val="single" w:sz="4" w:space="0" w:color="auto"/>
              <w:right w:val="single" w:sz="4" w:space="0" w:color="auto"/>
            </w:tcBorders>
          </w:tcPr>
          <w:p w:rsidR="00750342" w:rsidRDefault="00B150BF">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w:t>
            </w:r>
          </w:p>
          <w:p w:rsidR="00DA06D6" w:rsidRDefault="00DA06D6">
            <w:pPr>
              <w:spacing w:line="240" w:lineRule="auto"/>
              <w:rPr>
                <w:rFonts w:ascii="Bookman Old Style" w:eastAsia="Calibri" w:hAnsi="Bookman Old Style" w:cs="Times New Roman"/>
                <w:sz w:val="20"/>
                <w:szCs w:val="20"/>
              </w:rPr>
            </w:pPr>
          </w:p>
          <w:p w:rsidR="00B150BF" w:rsidRDefault="00B150BF">
            <w:pPr>
              <w:spacing w:line="240" w:lineRule="auto"/>
              <w:rPr>
                <w:rFonts w:ascii="Bookman Old Style" w:eastAsia="Calibri" w:hAnsi="Bookman Old Style" w:cs="Times New Roman"/>
                <w:sz w:val="20"/>
                <w:szCs w:val="20"/>
              </w:rPr>
            </w:pPr>
          </w:p>
          <w:p w:rsidR="009D2755" w:rsidRDefault="009D2755">
            <w:pPr>
              <w:spacing w:line="240" w:lineRule="auto"/>
              <w:rPr>
                <w:rFonts w:ascii="Bookman Old Style" w:eastAsia="Calibri" w:hAnsi="Bookman Old Style" w:cs="Times New Roman"/>
                <w:sz w:val="20"/>
                <w:szCs w:val="20"/>
              </w:rPr>
            </w:pPr>
          </w:p>
          <w:p w:rsidR="009D2755" w:rsidRDefault="009D2755">
            <w:pPr>
              <w:spacing w:line="240" w:lineRule="auto"/>
              <w:rPr>
                <w:rFonts w:ascii="Bookman Old Style" w:eastAsia="Calibri" w:hAnsi="Bookman Old Style" w:cs="Times New Roman"/>
                <w:sz w:val="20"/>
                <w:szCs w:val="20"/>
              </w:rPr>
            </w:pPr>
          </w:p>
          <w:p w:rsidR="00B150BF" w:rsidRDefault="00B150BF">
            <w:pPr>
              <w:spacing w:line="240" w:lineRule="auto"/>
              <w:rPr>
                <w:rFonts w:ascii="Bookman Old Style" w:eastAsia="Calibri" w:hAnsi="Bookman Old Style" w:cs="Times New Roman"/>
                <w:sz w:val="20"/>
                <w:szCs w:val="20"/>
              </w:rPr>
            </w:pPr>
          </w:p>
          <w:p w:rsidR="00B150BF" w:rsidRDefault="00B150BF">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w:t>
            </w:r>
          </w:p>
          <w:p w:rsidR="00DA06D6" w:rsidRDefault="00DA06D6">
            <w:pPr>
              <w:spacing w:line="240" w:lineRule="auto"/>
              <w:rPr>
                <w:rFonts w:ascii="Bookman Old Style" w:eastAsia="Calibri" w:hAnsi="Bookman Old Style" w:cs="Times New Roman"/>
                <w:sz w:val="20"/>
                <w:szCs w:val="20"/>
              </w:rPr>
            </w:pPr>
          </w:p>
          <w:p w:rsidR="00B150BF" w:rsidRDefault="00B150BF">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III.</w:t>
            </w: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IV.</w:t>
            </w: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w:t>
            </w: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3F4FBF" w:rsidRDefault="003F4FBF">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w:t>
            </w: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VII.</w:t>
            </w: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p>
          <w:p w:rsidR="00DA06D6" w:rsidRDefault="00DA06D6">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VIII.</w:t>
            </w:r>
          </w:p>
        </w:tc>
        <w:tc>
          <w:tcPr>
            <w:tcW w:w="9813" w:type="dxa"/>
            <w:tcBorders>
              <w:top w:val="single" w:sz="4" w:space="0" w:color="auto"/>
              <w:left w:val="single" w:sz="4" w:space="0" w:color="auto"/>
              <w:bottom w:val="single" w:sz="4" w:space="0" w:color="auto"/>
              <w:right w:val="single" w:sz="4" w:space="0" w:color="auto"/>
            </w:tcBorders>
          </w:tcPr>
          <w:p w:rsidR="006415ED" w:rsidRDefault="00B150BF">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In attendance:</w:t>
            </w:r>
          </w:p>
          <w:p w:rsidR="00DA06D6" w:rsidRPr="00DA06D6" w:rsidRDefault="00DA06D6">
            <w:pPr>
              <w:tabs>
                <w:tab w:val="left" w:pos="2230"/>
              </w:tabs>
              <w:spacing w:line="240" w:lineRule="auto"/>
              <w:rPr>
                <w:rFonts w:ascii="Bookman Old Style" w:eastAsia="Calibri" w:hAnsi="Bookman Old Style" w:cs="Times New Roman"/>
                <w:sz w:val="20"/>
                <w:szCs w:val="20"/>
              </w:rPr>
            </w:pPr>
            <w:r w:rsidRPr="00DA06D6">
              <w:rPr>
                <w:rFonts w:ascii="Bookman Old Style" w:eastAsia="Calibri" w:hAnsi="Bookman Old Style" w:cs="Times New Roman"/>
                <w:sz w:val="20"/>
                <w:szCs w:val="20"/>
              </w:rPr>
              <w:t>*</w:t>
            </w:r>
            <w:r w:rsidR="009D2755">
              <w:rPr>
                <w:rFonts w:ascii="Bookman Old Style" w:eastAsia="Calibri" w:hAnsi="Bookman Old Style" w:cs="Times New Roman"/>
                <w:sz w:val="20"/>
                <w:szCs w:val="20"/>
              </w:rPr>
              <w:t xml:space="preserve">N. Hoffman; L. Tafrate; M. Mitchell; J. Nicoll-Senft; M. Bigley; K. McGrath; S. Ostrowski; S. Drew; R. Fuentes; J. Thomas; M. Bartone; H. Abadiano; J. DeLaura; C. Doyle; M. Ciscel; O. Odesina; B. Sommers; </w:t>
            </w:r>
            <w:r w:rsidR="009D2755" w:rsidRPr="009D2755">
              <w:rPr>
                <w:rFonts w:ascii="Bookman Old Style" w:eastAsia="Calibri" w:hAnsi="Bookman Old Style" w:cs="Times New Roman"/>
                <w:b/>
                <w:sz w:val="20"/>
                <w:szCs w:val="20"/>
              </w:rPr>
              <w:t>Partners:</w:t>
            </w:r>
            <w:r w:rsidR="009D2755">
              <w:rPr>
                <w:rFonts w:ascii="Bookman Old Style" w:eastAsia="Calibri" w:hAnsi="Bookman Old Style" w:cs="Times New Roman"/>
                <w:sz w:val="20"/>
                <w:szCs w:val="20"/>
              </w:rPr>
              <w:t xml:space="preserve"> </w:t>
            </w:r>
            <w:r w:rsidR="004F65A7">
              <w:rPr>
                <w:rFonts w:ascii="Bookman Old Style" w:eastAsia="Calibri" w:hAnsi="Bookman Old Style" w:cs="Times New Roman"/>
                <w:sz w:val="20"/>
                <w:szCs w:val="20"/>
              </w:rPr>
              <w:t>S. Dastoli,</w:t>
            </w:r>
            <w:r w:rsidR="009D2755">
              <w:rPr>
                <w:rFonts w:ascii="Bookman Old Style" w:eastAsia="Calibri" w:hAnsi="Bookman Old Style" w:cs="Times New Roman"/>
                <w:sz w:val="20"/>
                <w:szCs w:val="20"/>
              </w:rPr>
              <w:t xml:space="preserve"> N. Thakur; T. Putnam</w:t>
            </w:r>
          </w:p>
          <w:p w:rsidR="00B150BF" w:rsidRDefault="00B150BF">
            <w:pPr>
              <w:tabs>
                <w:tab w:val="left" w:pos="2230"/>
              </w:tabs>
              <w:spacing w:line="240" w:lineRule="auto"/>
              <w:rPr>
                <w:rFonts w:ascii="Bookman Old Style" w:eastAsia="Calibri" w:hAnsi="Bookman Old Style" w:cs="Times New Roman"/>
                <w:sz w:val="20"/>
                <w:szCs w:val="20"/>
              </w:rPr>
            </w:pPr>
          </w:p>
          <w:p w:rsidR="006415ED" w:rsidRDefault="006415ED">
            <w:pPr>
              <w:tabs>
                <w:tab w:val="left" w:pos="2230"/>
              </w:tabs>
              <w:spacing w:line="240" w:lineRule="auto"/>
              <w:rPr>
                <w:rFonts w:ascii="Bookman Old Style" w:eastAsia="Calibri" w:hAnsi="Bookman Old Style" w:cs="Times New Roman"/>
                <w:sz w:val="20"/>
                <w:szCs w:val="20"/>
              </w:rPr>
            </w:pPr>
          </w:p>
          <w:p w:rsidR="00183159" w:rsidRPr="00E258FA" w:rsidRDefault="00750342">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CTEC meeting minutes</w:t>
            </w:r>
            <w:r w:rsidR="00B150BF">
              <w:rPr>
                <w:rFonts w:ascii="Bookman Old Style" w:eastAsia="Calibri" w:hAnsi="Bookman Old Style" w:cs="Times New Roman"/>
                <w:sz w:val="20"/>
                <w:szCs w:val="20"/>
              </w:rPr>
              <w:t xml:space="preserve"> - *Approved</w:t>
            </w:r>
          </w:p>
          <w:p w:rsidR="00374887" w:rsidRDefault="00374887" w:rsidP="008D48B1">
            <w:pPr>
              <w:tabs>
                <w:tab w:val="left" w:pos="2025"/>
              </w:tabs>
              <w:spacing w:line="240" w:lineRule="auto"/>
              <w:rPr>
                <w:rFonts w:ascii="Bookman Old Style" w:hAnsi="Bookman Old Style"/>
                <w:sz w:val="20"/>
                <w:szCs w:val="20"/>
              </w:rPr>
            </w:pPr>
          </w:p>
          <w:p w:rsidR="008D48B1" w:rsidRDefault="00102FA5" w:rsidP="008D48B1">
            <w:pPr>
              <w:tabs>
                <w:tab w:val="left" w:pos="2025"/>
              </w:tabs>
              <w:spacing w:line="240" w:lineRule="auto"/>
              <w:rPr>
                <w:rFonts w:ascii="Bookman Old Style" w:hAnsi="Bookman Old Style"/>
                <w:b/>
                <w:sz w:val="20"/>
                <w:szCs w:val="20"/>
              </w:rPr>
            </w:pPr>
            <w:r>
              <w:rPr>
                <w:rFonts w:ascii="Bookman Old Style" w:hAnsi="Bookman Old Style"/>
                <w:sz w:val="20"/>
                <w:szCs w:val="20"/>
              </w:rPr>
              <w:t xml:space="preserve">Reminder: </w:t>
            </w:r>
            <w:r w:rsidR="006415ED" w:rsidRPr="00102FA5">
              <w:rPr>
                <w:rFonts w:ascii="Bookman Old Style" w:hAnsi="Bookman Old Style"/>
                <w:sz w:val="20"/>
                <w:szCs w:val="20"/>
              </w:rPr>
              <w:t xml:space="preserve">The </w:t>
            </w:r>
            <w:r w:rsidR="00374887" w:rsidRPr="00102FA5">
              <w:rPr>
                <w:rFonts w:ascii="Bookman Old Style" w:hAnsi="Bookman Old Style"/>
                <w:sz w:val="20"/>
                <w:szCs w:val="20"/>
              </w:rPr>
              <w:t>professional program admission and retention</w:t>
            </w:r>
            <w:r w:rsidR="00374887">
              <w:rPr>
                <w:rFonts w:ascii="Bookman Old Style" w:hAnsi="Bookman Old Style"/>
                <w:sz w:val="20"/>
                <w:szCs w:val="20"/>
              </w:rPr>
              <w:t xml:space="preserve"> </w:t>
            </w:r>
            <w:r w:rsidR="006415ED">
              <w:rPr>
                <w:rFonts w:ascii="Bookman Old Style" w:hAnsi="Bookman Old Style"/>
                <w:sz w:val="20"/>
                <w:szCs w:val="20"/>
              </w:rPr>
              <w:t xml:space="preserve">standards </w:t>
            </w:r>
            <w:r>
              <w:rPr>
                <w:rFonts w:ascii="Bookman Old Style" w:hAnsi="Bookman Old Style"/>
                <w:sz w:val="20"/>
                <w:szCs w:val="20"/>
              </w:rPr>
              <w:t>approved last spring are in effect and they address expectations in a number of areas including edTPA.</w:t>
            </w:r>
            <w:r w:rsidR="006415ED">
              <w:rPr>
                <w:rFonts w:ascii="Bookman Old Style" w:hAnsi="Bookman Old Style"/>
                <w:sz w:val="20"/>
                <w:szCs w:val="20"/>
              </w:rPr>
              <w:t xml:space="preserve"> </w:t>
            </w:r>
            <w:r>
              <w:rPr>
                <w:rFonts w:ascii="Bookman Old Style" w:hAnsi="Bookman Old Style"/>
                <w:sz w:val="20"/>
                <w:szCs w:val="20"/>
              </w:rPr>
              <w:t xml:space="preserve">Advising begins on Monday, October 23. </w:t>
            </w:r>
            <w:r w:rsidRPr="00500092">
              <w:rPr>
                <w:rFonts w:ascii="Bookman Old Style" w:hAnsi="Bookman Old Style"/>
                <w:b/>
                <w:sz w:val="20"/>
                <w:szCs w:val="20"/>
              </w:rPr>
              <w:t>Are all your advisors and advising materials aligned with these standards?</w:t>
            </w:r>
          </w:p>
          <w:p w:rsidR="00B134AE" w:rsidRDefault="00B134AE" w:rsidP="008D48B1">
            <w:pPr>
              <w:tabs>
                <w:tab w:val="left" w:pos="2025"/>
              </w:tabs>
              <w:spacing w:line="240" w:lineRule="auto"/>
              <w:rPr>
                <w:rFonts w:ascii="Bookman Old Style" w:hAnsi="Bookman Old Style"/>
                <w:b/>
                <w:sz w:val="20"/>
                <w:szCs w:val="20"/>
              </w:rPr>
            </w:pPr>
          </w:p>
          <w:p w:rsidR="009D2755" w:rsidRPr="009D2755" w:rsidRDefault="009D2755" w:rsidP="008D48B1">
            <w:pPr>
              <w:tabs>
                <w:tab w:val="left" w:pos="2025"/>
              </w:tabs>
              <w:spacing w:line="240" w:lineRule="auto"/>
              <w:rPr>
                <w:rFonts w:ascii="Bookman Old Style" w:hAnsi="Bookman Old Style"/>
                <w:sz w:val="20"/>
                <w:szCs w:val="20"/>
              </w:rPr>
            </w:pPr>
            <w:r w:rsidRPr="009D2755">
              <w:rPr>
                <w:rFonts w:ascii="Bookman Old Style" w:hAnsi="Bookman Old Style"/>
                <w:sz w:val="20"/>
                <w:szCs w:val="20"/>
              </w:rPr>
              <w:t>*Find a copy of the guidelines attached to the September minutes</w:t>
            </w:r>
          </w:p>
          <w:p w:rsidR="00DA06D6" w:rsidRDefault="00DA06D6" w:rsidP="008D48B1">
            <w:pPr>
              <w:tabs>
                <w:tab w:val="left" w:pos="2025"/>
              </w:tabs>
              <w:spacing w:line="240" w:lineRule="auto"/>
              <w:rPr>
                <w:rFonts w:ascii="Bookman Old Style" w:hAnsi="Bookman Old Style"/>
                <w:b/>
                <w:sz w:val="20"/>
                <w:szCs w:val="20"/>
              </w:rPr>
            </w:pPr>
          </w:p>
          <w:p w:rsidR="00A17B96" w:rsidRDefault="00102FA5" w:rsidP="008D48B1">
            <w:pPr>
              <w:tabs>
                <w:tab w:val="left" w:pos="2025"/>
              </w:tabs>
              <w:spacing w:line="240" w:lineRule="auto"/>
              <w:rPr>
                <w:rFonts w:ascii="Bookman Old Style" w:hAnsi="Bookman Old Style"/>
                <w:sz w:val="20"/>
                <w:szCs w:val="20"/>
              </w:rPr>
            </w:pPr>
            <w:r>
              <w:rPr>
                <w:rFonts w:ascii="Bookman Old Style" w:hAnsi="Bookman Old Style"/>
                <w:sz w:val="20"/>
                <w:szCs w:val="20"/>
              </w:rPr>
              <w:t xml:space="preserve">We adopted the online </w:t>
            </w:r>
            <w:r w:rsidRPr="00102FA5">
              <w:rPr>
                <w:rFonts w:ascii="Bookman Old Style" w:hAnsi="Bookman Old Style"/>
                <w:b/>
                <w:sz w:val="20"/>
                <w:szCs w:val="20"/>
              </w:rPr>
              <w:t xml:space="preserve">early </w:t>
            </w:r>
            <w:r w:rsidR="00F95A12" w:rsidRPr="00102FA5">
              <w:rPr>
                <w:rFonts w:ascii="Bookman Old Style" w:hAnsi="Bookman Old Style"/>
                <w:b/>
                <w:sz w:val="20"/>
                <w:szCs w:val="20"/>
              </w:rPr>
              <w:t>field experience</w:t>
            </w:r>
            <w:r w:rsidRPr="00102FA5">
              <w:rPr>
                <w:rFonts w:ascii="Bookman Old Style" w:hAnsi="Bookman Old Style"/>
                <w:b/>
                <w:sz w:val="20"/>
                <w:szCs w:val="20"/>
              </w:rPr>
              <w:t xml:space="preserve"> evaluation</w:t>
            </w:r>
            <w:r>
              <w:rPr>
                <w:rFonts w:ascii="Bookman Old Style" w:hAnsi="Bookman Old Style"/>
                <w:sz w:val="20"/>
                <w:szCs w:val="20"/>
              </w:rPr>
              <w:t xml:space="preserve"> last spring</w:t>
            </w:r>
            <w:r w:rsidR="00500092">
              <w:rPr>
                <w:rFonts w:ascii="Bookman Old Style" w:hAnsi="Bookman Old Style"/>
                <w:sz w:val="20"/>
                <w:szCs w:val="20"/>
              </w:rPr>
              <w:t xml:space="preserve">. It provides a measure of non-academic behaviors required for CAEP accreditation--- as well as timely information that we can use to help our students succeed. </w:t>
            </w:r>
            <w:r w:rsidR="00F95A12">
              <w:rPr>
                <w:rFonts w:ascii="Bookman Old Style" w:hAnsi="Bookman Old Style"/>
                <w:sz w:val="20"/>
                <w:szCs w:val="20"/>
              </w:rPr>
              <w:t xml:space="preserve"> </w:t>
            </w:r>
            <w:r w:rsidR="00500092">
              <w:rPr>
                <w:rFonts w:ascii="Bookman Old Style" w:hAnsi="Bookman Old Style"/>
                <w:sz w:val="20"/>
                <w:szCs w:val="20"/>
              </w:rPr>
              <w:t>Students MUST</w:t>
            </w:r>
            <w:r w:rsidR="00F95A12">
              <w:rPr>
                <w:rFonts w:ascii="Bookman Old Style" w:hAnsi="Bookman Old Style"/>
                <w:sz w:val="20"/>
                <w:szCs w:val="20"/>
              </w:rPr>
              <w:t xml:space="preserve"> complete the </w:t>
            </w:r>
            <w:r w:rsidR="00F95A12" w:rsidRPr="00500092">
              <w:rPr>
                <w:rFonts w:ascii="Bookman Old Style" w:hAnsi="Bookman Old Style"/>
                <w:b/>
                <w:sz w:val="20"/>
                <w:szCs w:val="20"/>
              </w:rPr>
              <w:t>field experience placement form in Taskstream</w:t>
            </w:r>
            <w:r w:rsidR="00F95A12">
              <w:rPr>
                <w:rFonts w:ascii="Bookman Old Style" w:hAnsi="Bookman Old Style"/>
                <w:sz w:val="20"/>
                <w:szCs w:val="20"/>
              </w:rPr>
              <w:t xml:space="preserve"> </w:t>
            </w:r>
            <w:r w:rsidR="00500092">
              <w:rPr>
                <w:rFonts w:ascii="Bookman Old Style" w:hAnsi="Bookman Old Style"/>
                <w:sz w:val="20"/>
                <w:szCs w:val="20"/>
              </w:rPr>
              <w:t>for this evaluation to be completed.</w:t>
            </w:r>
            <w:r w:rsidR="00A17B96">
              <w:rPr>
                <w:rFonts w:ascii="Bookman Old Style" w:hAnsi="Bookman Old Style"/>
                <w:sz w:val="20"/>
                <w:szCs w:val="20"/>
              </w:rPr>
              <w:t xml:space="preserve"> </w:t>
            </w:r>
            <w:r w:rsidR="00500092">
              <w:rPr>
                <w:rFonts w:ascii="Bookman Old Style" w:hAnsi="Bookman Old Style"/>
                <w:sz w:val="20"/>
                <w:szCs w:val="20"/>
              </w:rPr>
              <w:t>PLEASE follow up on any student who has not completed this AND put this into your next syllabus!</w:t>
            </w:r>
          </w:p>
          <w:p w:rsidR="00DA06D6" w:rsidRDefault="00DA06D6" w:rsidP="008D48B1">
            <w:pPr>
              <w:tabs>
                <w:tab w:val="left" w:pos="2025"/>
              </w:tabs>
              <w:spacing w:line="240" w:lineRule="auto"/>
              <w:rPr>
                <w:rFonts w:ascii="Bookman Old Style" w:hAnsi="Bookman Old Style"/>
                <w:sz w:val="20"/>
                <w:szCs w:val="20"/>
              </w:rPr>
            </w:pPr>
          </w:p>
          <w:p w:rsidR="00DA06D6" w:rsidRDefault="00DA06D6" w:rsidP="008D48B1">
            <w:pPr>
              <w:tabs>
                <w:tab w:val="left" w:pos="2025"/>
              </w:tabs>
              <w:spacing w:line="240" w:lineRule="auto"/>
              <w:rPr>
                <w:rFonts w:ascii="Bookman Old Style" w:hAnsi="Bookman Old Style"/>
                <w:sz w:val="20"/>
                <w:szCs w:val="20"/>
              </w:rPr>
            </w:pPr>
          </w:p>
          <w:p w:rsidR="00F95A12" w:rsidRDefault="00F95A12" w:rsidP="008D48B1">
            <w:pPr>
              <w:tabs>
                <w:tab w:val="left" w:pos="2025"/>
              </w:tabs>
              <w:spacing w:line="240" w:lineRule="auto"/>
              <w:rPr>
                <w:rFonts w:ascii="Bookman Old Style" w:hAnsi="Bookman Old Style"/>
                <w:sz w:val="20"/>
                <w:szCs w:val="20"/>
              </w:rPr>
            </w:pPr>
            <w:r w:rsidRPr="009D790B">
              <w:rPr>
                <w:rFonts w:ascii="Bookman Old Style" w:hAnsi="Bookman Old Style"/>
                <w:b/>
                <w:sz w:val="20"/>
                <w:szCs w:val="20"/>
              </w:rPr>
              <w:t>Undergraduate Open House</w:t>
            </w:r>
            <w:r>
              <w:rPr>
                <w:rFonts w:ascii="Bookman Old Style" w:hAnsi="Bookman Old Style"/>
                <w:sz w:val="20"/>
                <w:szCs w:val="20"/>
              </w:rPr>
              <w:t xml:space="preserve"> on Sunday, October </w:t>
            </w:r>
            <w:r w:rsidR="00500092">
              <w:rPr>
                <w:rFonts w:ascii="Bookman Old Style" w:hAnsi="Bookman Old Style"/>
                <w:sz w:val="20"/>
                <w:szCs w:val="20"/>
              </w:rPr>
              <w:t>29, 11 to 2. M</w:t>
            </w:r>
            <w:r w:rsidR="004F65A7">
              <w:rPr>
                <w:rFonts w:ascii="Bookman Old Style" w:hAnsi="Bookman Old Style"/>
                <w:sz w:val="20"/>
                <w:szCs w:val="20"/>
              </w:rPr>
              <w:t xml:space="preserve">any thanks to tech ed, phys ed, </w:t>
            </w:r>
            <w:r w:rsidR="00500092">
              <w:rPr>
                <w:rFonts w:ascii="Bookman Old Style" w:hAnsi="Bookman Old Style"/>
                <w:sz w:val="20"/>
                <w:szCs w:val="20"/>
              </w:rPr>
              <w:t>elementary, social studies, English, math, world languages, and science for providing dedicated representatives for the teacher education tables.</w:t>
            </w:r>
            <w:r w:rsidR="009D790B">
              <w:rPr>
                <w:rFonts w:ascii="Bookman Old Style" w:hAnsi="Bookman Old Style"/>
                <w:sz w:val="20"/>
                <w:szCs w:val="20"/>
              </w:rPr>
              <w:t xml:space="preserve"> </w:t>
            </w:r>
          </w:p>
          <w:p w:rsidR="00B134AE" w:rsidRDefault="00B134AE" w:rsidP="008D48B1">
            <w:pPr>
              <w:tabs>
                <w:tab w:val="left" w:pos="2025"/>
              </w:tabs>
              <w:spacing w:line="240" w:lineRule="auto"/>
              <w:rPr>
                <w:rFonts w:ascii="Bookman Old Style" w:hAnsi="Bookman Old Style"/>
                <w:sz w:val="20"/>
                <w:szCs w:val="20"/>
              </w:rPr>
            </w:pPr>
          </w:p>
          <w:p w:rsidR="003F4FBF" w:rsidRDefault="003F4FBF" w:rsidP="008D48B1">
            <w:pPr>
              <w:tabs>
                <w:tab w:val="left" w:pos="2025"/>
              </w:tabs>
              <w:spacing w:line="240" w:lineRule="auto"/>
              <w:rPr>
                <w:rFonts w:ascii="Bookman Old Style" w:hAnsi="Bookman Old Style"/>
                <w:sz w:val="20"/>
                <w:szCs w:val="20"/>
              </w:rPr>
            </w:pPr>
            <w:r>
              <w:rPr>
                <w:rFonts w:ascii="Bookman Old Style" w:hAnsi="Bookman Old Style"/>
                <w:sz w:val="20"/>
                <w:szCs w:val="20"/>
              </w:rPr>
              <w:t>*SEPS will meet in the Social Sciences Hall first floor main lobby</w:t>
            </w:r>
          </w:p>
          <w:p w:rsidR="00DA06D6" w:rsidRDefault="00DA06D6" w:rsidP="008D48B1">
            <w:pPr>
              <w:tabs>
                <w:tab w:val="left" w:pos="2025"/>
              </w:tabs>
              <w:spacing w:line="240" w:lineRule="auto"/>
              <w:rPr>
                <w:rFonts w:ascii="Bookman Old Style" w:hAnsi="Bookman Old Style"/>
                <w:sz w:val="20"/>
                <w:szCs w:val="20"/>
              </w:rPr>
            </w:pPr>
          </w:p>
          <w:p w:rsidR="003850CB" w:rsidRDefault="003850CB">
            <w:pPr>
              <w:tabs>
                <w:tab w:val="left" w:pos="2230"/>
              </w:tabs>
              <w:spacing w:line="240" w:lineRule="auto"/>
              <w:rPr>
                <w:rFonts w:ascii="Bookman Old Style" w:eastAsia="Calibri" w:hAnsi="Bookman Old Style" w:cs="Times New Roman"/>
                <w:sz w:val="20"/>
                <w:szCs w:val="20"/>
              </w:rPr>
            </w:pPr>
          </w:p>
          <w:p w:rsidR="006F2F12" w:rsidRDefault="006F2F12">
            <w:pPr>
              <w:tabs>
                <w:tab w:val="left" w:pos="2230"/>
              </w:tabs>
              <w:spacing w:line="240" w:lineRule="auto"/>
              <w:rPr>
                <w:rFonts w:ascii="Bookman Old Style" w:eastAsia="Calibri" w:hAnsi="Bookman Old Style" w:cs="Times New Roman"/>
                <w:b/>
                <w:sz w:val="20"/>
                <w:szCs w:val="20"/>
              </w:rPr>
            </w:pPr>
            <w:r w:rsidRPr="006F2F12">
              <w:rPr>
                <w:rFonts w:ascii="Bookman Old Style" w:eastAsia="Calibri" w:hAnsi="Bookman Old Style" w:cs="Times New Roman"/>
                <w:b/>
                <w:sz w:val="20"/>
                <w:szCs w:val="20"/>
              </w:rPr>
              <w:t>NNER---</w:t>
            </w:r>
            <w:r w:rsidRPr="006F2F12">
              <w:rPr>
                <w:rFonts w:ascii="Bookman Old Style" w:eastAsia="Calibri" w:hAnsi="Bookman Old Style" w:cs="Times New Roman"/>
                <w:sz w:val="20"/>
                <w:szCs w:val="20"/>
              </w:rPr>
              <w:t xml:space="preserve">we anticipate a half-day (afternoon) retreat for K-12 partners and the larger CCSU faculty on the </w:t>
            </w:r>
            <w:r w:rsidRPr="006F2F12">
              <w:rPr>
                <w:rFonts w:ascii="Bookman Old Style" w:eastAsia="Calibri" w:hAnsi="Bookman Old Style" w:cs="Times New Roman"/>
                <w:b/>
                <w:sz w:val="20"/>
                <w:szCs w:val="20"/>
              </w:rPr>
              <w:t>afternoon of December 14</w:t>
            </w:r>
            <w:r w:rsidRPr="006F2F12">
              <w:rPr>
                <w:rFonts w:ascii="Bookman Old Style" w:eastAsia="Calibri" w:hAnsi="Bookman Old Style" w:cs="Times New Roman"/>
                <w:sz w:val="20"/>
                <w:szCs w:val="20"/>
              </w:rPr>
              <w:t xml:space="preserve">. Please </w:t>
            </w:r>
            <w:r w:rsidRPr="006F2F12">
              <w:rPr>
                <w:rFonts w:ascii="Bookman Old Style" w:eastAsia="Calibri" w:hAnsi="Bookman Old Style" w:cs="Times New Roman"/>
                <w:b/>
                <w:sz w:val="20"/>
                <w:szCs w:val="20"/>
              </w:rPr>
              <w:t>save that date</w:t>
            </w:r>
            <w:r w:rsidRPr="006F2F12">
              <w:rPr>
                <w:rFonts w:ascii="Bookman Old Style" w:eastAsia="Calibri" w:hAnsi="Bookman Old Style" w:cs="Times New Roman"/>
                <w:sz w:val="20"/>
                <w:szCs w:val="20"/>
              </w:rPr>
              <w:t xml:space="preserve">. The retreat will conclude with a small celebration of CT educator survival of the 2017 fall season. (Please think about other colleagues you will want to invite—there will be </w:t>
            </w:r>
            <w:r w:rsidRPr="006F2F12">
              <w:rPr>
                <w:rFonts w:ascii="Bookman Old Style" w:eastAsia="Calibri" w:hAnsi="Bookman Old Style" w:cs="Times New Roman"/>
                <w:b/>
                <w:sz w:val="20"/>
                <w:szCs w:val="20"/>
              </w:rPr>
              <w:t>behavioral incentives</w:t>
            </w:r>
            <w:r w:rsidRPr="006F2F12">
              <w:rPr>
                <w:rFonts w:ascii="Bookman Old Style" w:eastAsia="Calibri" w:hAnsi="Bookman Old Style" w:cs="Times New Roman"/>
                <w:sz w:val="20"/>
                <w:szCs w:val="20"/>
              </w:rPr>
              <w:t xml:space="preserve"> for such recruitment.)</w:t>
            </w:r>
            <w:r w:rsidRPr="006F2F12">
              <w:rPr>
                <w:rFonts w:ascii="Bookman Old Style" w:eastAsia="Calibri" w:hAnsi="Bookman Old Style" w:cs="Times New Roman"/>
                <w:b/>
                <w:sz w:val="20"/>
                <w:szCs w:val="20"/>
              </w:rPr>
              <w:t xml:space="preserve"> </w:t>
            </w:r>
          </w:p>
          <w:p w:rsidR="006F2F12" w:rsidRDefault="006F2F12">
            <w:pPr>
              <w:tabs>
                <w:tab w:val="left" w:pos="2230"/>
              </w:tabs>
              <w:spacing w:line="240" w:lineRule="auto"/>
              <w:rPr>
                <w:rFonts w:ascii="Bookman Old Style" w:eastAsia="Calibri" w:hAnsi="Bookman Old Style" w:cs="Times New Roman"/>
                <w:b/>
                <w:sz w:val="20"/>
                <w:szCs w:val="20"/>
              </w:rPr>
            </w:pPr>
          </w:p>
          <w:p w:rsidR="00CE6862" w:rsidRDefault="00CE6862">
            <w:pPr>
              <w:tabs>
                <w:tab w:val="left" w:pos="2230"/>
              </w:tabs>
              <w:spacing w:line="240" w:lineRule="auto"/>
              <w:rPr>
                <w:rFonts w:ascii="Bookman Old Style" w:eastAsia="Calibri" w:hAnsi="Bookman Old Style" w:cs="Times New Roman"/>
                <w:sz w:val="20"/>
                <w:szCs w:val="20"/>
              </w:rPr>
            </w:pPr>
            <w:r w:rsidRPr="00CE6862">
              <w:rPr>
                <w:rFonts w:ascii="Bookman Old Style" w:eastAsia="Calibri" w:hAnsi="Bookman Old Style" w:cs="Times New Roman"/>
                <w:b/>
                <w:sz w:val="20"/>
                <w:szCs w:val="20"/>
              </w:rPr>
              <w:t xml:space="preserve">ATLAS </w:t>
            </w:r>
            <w:r>
              <w:rPr>
                <w:rFonts w:ascii="Bookman Old Style" w:eastAsia="Calibri" w:hAnsi="Bookman Old Style" w:cs="Times New Roman"/>
                <w:sz w:val="20"/>
                <w:szCs w:val="20"/>
              </w:rPr>
              <w:t>is a data</w:t>
            </w:r>
            <w:r w:rsidRPr="00CE6862">
              <w:rPr>
                <w:rFonts w:ascii="Bookman Old Style" w:eastAsia="Calibri" w:hAnsi="Bookman Old Style" w:cs="Times New Roman"/>
                <w:sz w:val="20"/>
                <w:szCs w:val="20"/>
              </w:rPr>
              <w:t>base of hundreds of 15-20 minute classroom videos and related commentaries provided by national board certified teachers and indexed in a zillion ways. Dean Alfano purchased a three-year, 250 student subscription. To make use of this, please speak with Lauren Tafrate</w:t>
            </w:r>
            <w:r>
              <w:rPr>
                <w:rFonts w:ascii="Bookman Old Style" w:eastAsia="Calibri" w:hAnsi="Bookman Old Style" w:cs="Times New Roman"/>
                <w:sz w:val="20"/>
                <w:szCs w:val="20"/>
              </w:rPr>
              <w:t xml:space="preserve"> re: enrollment and how it works</w:t>
            </w:r>
            <w:r w:rsidRPr="00CE6862">
              <w:rPr>
                <w:rFonts w:ascii="Bookman Old Style" w:eastAsia="Calibri" w:hAnsi="Bookman Old Style" w:cs="Times New Roman"/>
                <w:sz w:val="20"/>
                <w:szCs w:val="20"/>
              </w:rPr>
              <w:t>.</w:t>
            </w:r>
          </w:p>
          <w:p w:rsidR="00DA06D6" w:rsidRPr="00CE6862" w:rsidRDefault="00DA06D6">
            <w:pPr>
              <w:tabs>
                <w:tab w:val="left" w:pos="2230"/>
              </w:tabs>
              <w:spacing w:line="240" w:lineRule="auto"/>
              <w:rPr>
                <w:rFonts w:ascii="Bookman Old Style" w:eastAsia="Calibri" w:hAnsi="Bookman Old Style" w:cs="Times New Roman"/>
                <w:sz w:val="20"/>
                <w:szCs w:val="20"/>
              </w:rPr>
            </w:pPr>
          </w:p>
          <w:p w:rsidR="00F7720A" w:rsidRDefault="00F7720A">
            <w:pPr>
              <w:tabs>
                <w:tab w:val="left" w:pos="2230"/>
              </w:tabs>
              <w:spacing w:line="240" w:lineRule="auto"/>
              <w:rPr>
                <w:rFonts w:ascii="Bookman Old Style" w:eastAsia="Calibri" w:hAnsi="Bookman Old Style" w:cs="Times New Roman"/>
                <w:b/>
                <w:sz w:val="20"/>
                <w:szCs w:val="20"/>
              </w:rPr>
            </w:pPr>
          </w:p>
          <w:p w:rsidR="00970A26" w:rsidRDefault="00970A26">
            <w:pPr>
              <w:tabs>
                <w:tab w:val="left" w:pos="2230"/>
              </w:tabs>
              <w:spacing w:line="240" w:lineRule="auto"/>
              <w:rPr>
                <w:rFonts w:ascii="Bookman Old Style" w:eastAsia="Calibri" w:hAnsi="Bookman Old Style" w:cs="Times New Roman"/>
                <w:b/>
                <w:sz w:val="20"/>
                <w:szCs w:val="20"/>
              </w:rPr>
            </w:pPr>
            <w:r w:rsidRPr="00970A26">
              <w:rPr>
                <w:rFonts w:ascii="Bookman Old Style" w:eastAsia="Calibri" w:hAnsi="Bookman Old Style" w:cs="Times New Roman"/>
                <w:sz w:val="20"/>
                <w:szCs w:val="20"/>
              </w:rPr>
              <w:t xml:space="preserve">Fall 2017 CEEDAR conference (September 29) in Cromwell. CCSU </w:t>
            </w:r>
            <w:r>
              <w:rPr>
                <w:rFonts w:ascii="Bookman Old Style" w:eastAsia="Calibri" w:hAnsi="Bookman Old Style" w:cs="Times New Roman"/>
                <w:sz w:val="20"/>
                <w:szCs w:val="20"/>
              </w:rPr>
              <w:t xml:space="preserve">conference presenters </w:t>
            </w:r>
            <w:r w:rsidRPr="00970A26">
              <w:rPr>
                <w:rFonts w:ascii="Bookman Old Style" w:eastAsia="Calibri" w:hAnsi="Bookman Old Style" w:cs="Times New Roman"/>
                <w:sz w:val="20"/>
                <w:szCs w:val="20"/>
              </w:rPr>
              <w:t xml:space="preserve">and the CCSU MAT students the national CEEDAR leadership team observed </w:t>
            </w:r>
            <w:r>
              <w:rPr>
                <w:rFonts w:ascii="Bookman Old Style" w:eastAsia="Calibri" w:hAnsi="Bookman Old Style" w:cs="Times New Roman"/>
                <w:sz w:val="20"/>
                <w:szCs w:val="20"/>
              </w:rPr>
              <w:t xml:space="preserve">and interviewed </w:t>
            </w:r>
            <w:r w:rsidRPr="00970A26">
              <w:rPr>
                <w:rFonts w:ascii="Bookman Old Style" w:eastAsia="Calibri" w:hAnsi="Bookman Old Style" w:cs="Times New Roman"/>
                <w:sz w:val="20"/>
                <w:szCs w:val="20"/>
              </w:rPr>
              <w:t xml:space="preserve">were stellar! </w:t>
            </w:r>
            <w:r w:rsidRPr="00970A26">
              <w:rPr>
                <w:rFonts w:ascii="Bookman Old Style" w:eastAsia="Calibri" w:hAnsi="Bookman Old Style" w:cs="Times New Roman"/>
                <w:b/>
                <w:sz w:val="20"/>
                <w:szCs w:val="20"/>
              </w:rPr>
              <w:t>YES!</w:t>
            </w:r>
          </w:p>
          <w:p w:rsidR="00B134AE" w:rsidRDefault="00B134AE">
            <w:pPr>
              <w:tabs>
                <w:tab w:val="left" w:pos="2230"/>
              </w:tabs>
              <w:spacing w:line="240" w:lineRule="auto"/>
              <w:rPr>
                <w:rFonts w:ascii="Bookman Old Style" w:eastAsia="Calibri" w:hAnsi="Bookman Old Style" w:cs="Times New Roman"/>
                <w:b/>
                <w:sz w:val="20"/>
                <w:szCs w:val="20"/>
              </w:rPr>
            </w:pPr>
          </w:p>
          <w:p w:rsidR="00750342" w:rsidRPr="00AC52E6" w:rsidRDefault="003F4FBF" w:rsidP="00183159">
            <w:pPr>
              <w:tabs>
                <w:tab w:val="left" w:pos="2230"/>
              </w:tabs>
              <w:spacing w:line="240" w:lineRule="auto"/>
              <w:rPr>
                <w:rFonts w:ascii="Bookman Old Style" w:eastAsia="Calibri" w:hAnsi="Bookman Old Style" w:cs="Times New Roman"/>
                <w:sz w:val="20"/>
                <w:szCs w:val="20"/>
              </w:rPr>
            </w:pPr>
            <w:r w:rsidRPr="003F4FBF">
              <w:rPr>
                <w:rFonts w:ascii="Bookman Old Style" w:eastAsia="Calibri" w:hAnsi="Bookman Old Style" w:cs="Times New Roman"/>
                <w:sz w:val="20"/>
                <w:szCs w:val="20"/>
              </w:rPr>
              <w:t>*find a recording of Deborah Ball and all of the materials she presented on their website</w:t>
            </w:r>
          </w:p>
        </w:tc>
        <w:tc>
          <w:tcPr>
            <w:tcW w:w="236"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rPr>
                <w:rFonts w:ascii="Bookman Old Style" w:eastAsia="Calibri" w:hAnsi="Bookman Old Style" w:cs="Times New Roman"/>
                <w:sz w:val="20"/>
                <w:szCs w:val="20"/>
              </w:rPr>
            </w:pPr>
          </w:p>
        </w:tc>
      </w:tr>
      <w:tr w:rsidR="00750342" w:rsidTr="005E622A">
        <w:trPr>
          <w:gridAfter w:val="1"/>
          <w:wAfter w:w="34" w:type="dxa"/>
          <w:trHeight w:val="575"/>
        </w:trPr>
        <w:tc>
          <w:tcPr>
            <w:tcW w:w="807" w:type="dxa"/>
            <w:tcBorders>
              <w:top w:val="single" w:sz="4" w:space="0" w:color="auto"/>
              <w:left w:val="single" w:sz="4" w:space="0" w:color="auto"/>
              <w:bottom w:val="single" w:sz="4" w:space="0" w:color="auto"/>
              <w:right w:val="single" w:sz="4" w:space="0" w:color="auto"/>
            </w:tcBorders>
          </w:tcPr>
          <w:p w:rsidR="00EB34A6" w:rsidRDefault="002F5BC3" w:rsidP="00CE6862">
            <w:pPr>
              <w:spacing w:line="240" w:lineRule="auto"/>
              <w:rPr>
                <w:rFonts w:ascii="Bookman Old Style" w:hAnsi="Bookman Old Style"/>
                <w:sz w:val="20"/>
                <w:szCs w:val="20"/>
              </w:rPr>
            </w:pPr>
            <w:r>
              <w:rPr>
                <w:rFonts w:ascii="Bookman Old Style" w:hAnsi="Bookman Old Style"/>
                <w:sz w:val="20"/>
                <w:szCs w:val="20"/>
              </w:rPr>
              <w:t>IX.</w:t>
            </w:r>
          </w:p>
        </w:tc>
        <w:tc>
          <w:tcPr>
            <w:tcW w:w="9813" w:type="dxa"/>
            <w:tcBorders>
              <w:top w:val="single" w:sz="4" w:space="0" w:color="auto"/>
              <w:left w:val="single" w:sz="4" w:space="0" w:color="auto"/>
              <w:bottom w:val="single" w:sz="4" w:space="0" w:color="auto"/>
              <w:right w:val="single" w:sz="4" w:space="0" w:color="auto"/>
            </w:tcBorders>
            <w:hideMark/>
          </w:tcPr>
          <w:p w:rsidR="00F42655" w:rsidRDefault="00CE6862" w:rsidP="00F66DCC">
            <w:pPr>
              <w:spacing w:line="240" w:lineRule="auto"/>
              <w:rPr>
                <w:rFonts w:ascii="Bookman Old Style" w:hAnsi="Bookman Old Style"/>
                <w:b/>
                <w:sz w:val="20"/>
                <w:szCs w:val="20"/>
              </w:rPr>
            </w:pPr>
            <w:r w:rsidRPr="00E258FA">
              <w:rPr>
                <w:rFonts w:ascii="Bookman Old Style" w:hAnsi="Bookman Old Style"/>
                <w:b/>
                <w:sz w:val="20"/>
                <w:szCs w:val="20"/>
              </w:rPr>
              <w:t>SEPS Dean update</w:t>
            </w:r>
          </w:p>
          <w:p w:rsidR="00500092" w:rsidRDefault="00500092" w:rsidP="00500092">
            <w:pPr>
              <w:tabs>
                <w:tab w:val="left" w:pos="2230"/>
              </w:tabs>
              <w:spacing w:line="240" w:lineRule="auto"/>
              <w:rPr>
                <w:rFonts w:ascii="Bookman Old Style" w:eastAsia="Calibri" w:hAnsi="Bookman Old Style" w:cs="Times New Roman"/>
                <w:sz w:val="20"/>
                <w:szCs w:val="20"/>
              </w:rPr>
            </w:pPr>
            <w:r w:rsidRPr="00500092">
              <w:rPr>
                <w:rFonts w:ascii="Bookman Old Style" w:eastAsia="Calibri" w:hAnsi="Bookman Old Style" w:cs="Times New Roman"/>
                <w:sz w:val="20"/>
                <w:szCs w:val="20"/>
              </w:rPr>
              <w:t>Fingerprinting requirements are an evolving issue…</w:t>
            </w:r>
          </w:p>
          <w:p w:rsidR="00B134AE" w:rsidRDefault="00B134AE" w:rsidP="00500092">
            <w:pPr>
              <w:tabs>
                <w:tab w:val="left" w:pos="2230"/>
              </w:tabs>
              <w:spacing w:line="240" w:lineRule="auto"/>
              <w:rPr>
                <w:rFonts w:ascii="Bookman Old Style" w:eastAsia="Calibri" w:hAnsi="Bookman Old Style" w:cs="Times New Roman"/>
                <w:sz w:val="20"/>
                <w:szCs w:val="20"/>
              </w:rPr>
            </w:pPr>
          </w:p>
          <w:p w:rsidR="000A44E5" w:rsidRDefault="000A44E5" w:rsidP="00500092">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*a discrepancy between state and federal interpretation of law is being discussed</w:t>
            </w:r>
          </w:p>
          <w:p w:rsidR="00B134AE" w:rsidRPr="00500092" w:rsidRDefault="00B134AE" w:rsidP="00500092">
            <w:pPr>
              <w:tabs>
                <w:tab w:val="left" w:pos="2230"/>
              </w:tabs>
              <w:spacing w:line="240" w:lineRule="auto"/>
              <w:rPr>
                <w:rFonts w:ascii="Bookman Old Style" w:eastAsia="Calibri" w:hAnsi="Bookman Old Style" w:cs="Times New Roman"/>
                <w:sz w:val="20"/>
                <w:szCs w:val="20"/>
              </w:rPr>
            </w:pPr>
          </w:p>
          <w:p w:rsidR="003850CB" w:rsidRDefault="00500092" w:rsidP="00500092">
            <w:pPr>
              <w:tabs>
                <w:tab w:val="left" w:pos="2230"/>
              </w:tabs>
              <w:spacing w:line="240" w:lineRule="auto"/>
              <w:rPr>
                <w:rFonts w:ascii="Bookman Old Style" w:eastAsia="Calibri" w:hAnsi="Bookman Old Style" w:cs="Times New Roman"/>
                <w:b/>
                <w:sz w:val="20"/>
                <w:szCs w:val="20"/>
              </w:rPr>
            </w:pPr>
            <w:r w:rsidRPr="00500092">
              <w:rPr>
                <w:rFonts w:ascii="Bookman Old Style" w:eastAsia="Calibri" w:hAnsi="Bookman Old Style" w:cs="Times New Roman"/>
                <w:sz w:val="20"/>
                <w:szCs w:val="20"/>
              </w:rPr>
              <w:lastRenderedPageBreak/>
              <w:t>In times of economic</w:t>
            </w:r>
            <w:r>
              <w:rPr>
                <w:rFonts w:ascii="Bookman Old Style" w:eastAsia="Calibri" w:hAnsi="Bookman Old Style" w:cs="Times New Roman"/>
                <w:sz w:val="20"/>
                <w:szCs w:val="20"/>
              </w:rPr>
              <w:t xml:space="preserve"> stress, rumors abound….</w:t>
            </w:r>
            <w:r>
              <w:rPr>
                <w:rFonts w:ascii="Bookman Old Style" w:eastAsia="Calibri" w:hAnsi="Bookman Old Style" w:cs="Times New Roman"/>
                <w:b/>
                <w:sz w:val="20"/>
                <w:szCs w:val="20"/>
              </w:rPr>
              <w:t xml:space="preserve"> </w:t>
            </w:r>
          </w:p>
          <w:p w:rsidR="00B134AE" w:rsidRPr="003850CB" w:rsidRDefault="00B134AE" w:rsidP="00500092">
            <w:pPr>
              <w:tabs>
                <w:tab w:val="left" w:pos="2230"/>
              </w:tabs>
              <w:spacing w:line="240" w:lineRule="auto"/>
              <w:rPr>
                <w:rFonts w:ascii="Bookman Old Style" w:eastAsia="Calibri" w:hAnsi="Bookman Old Style" w:cs="Times New Roman"/>
                <w:b/>
                <w:sz w:val="20"/>
                <w:szCs w:val="20"/>
              </w:rPr>
            </w:pPr>
          </w:p>
          <w:p w:rsidR="00500092" w:rsidRPr="000A44E5" w:rsidRDefault="000A44E5" w:rsidP="00F66DCC">
            <w:pPr>
              <w:spacing w:line="240" w:lineRule="auto"/>
              <w:rPr>
                <w:rFonts w:ascii="Bookman Old Style" w:hAnsi="Bookman Old Style"/>
                <w:sz w:val="20"/>
                <w:szCs w:val="20"/>
              </w:rPr>
            </w:pPr>
            <w:r w:rsidRPr="000A44E5">
              <w:rPr>
                <w:rFonts w:ascii="Bookman Old Style" w:hAnsi="Bookman Old Style"/>
                <w:sz w:val="20"/>
                <w:szCs w:val="20"/>
              </w:rPr>
              <w:t xml:space="preserve">*SEPS is not planning on </w:t>
            </w:r>
            <w:r w:rsidR="000E0C7D">
              <w:rPr>
                <w:rFonts w:ascii="Bookman Old Style" w:hAnsi="Bookman Old Style"/>
                <w:sz w:val="20"/>
                <w:szCs w:val="20"/>
              </w:rPr>
              <w:t>dragging</w:t>
            </w:r>
            <w:r w:rsidRPr="000A44E5">
              <w:rPr>
                <w:rFonts w:ascii="Bookman Old Style" w:hAnsi="Bookman Old Style"/>
                <w:sz w:val="20"/>
                <w:szCs w:val="20"/>
              </w:rPr>
              <w:t xml:space="preserve"> any of the secondary </w:t>
            </w:r>
            <w:r w:rsidR="000E0C7D">
              <w:rPr>
                <w:rFonts w:ascii="Bookman Old Style" w:hAnsi="Bookman Old Style"/>
                <w:sz w:val="20"/>
                <w:szCs w:val="20"/>
              </w:rPr>
              <w:t xml:space="preserve">CLASS or SEST </w:t>
            </w:r>
            <w:r w:rsidRPr="000A44E5">
              <w:rPr>
                <w:rFonts w:ascii="Bookman Old Style" w:hAnsi="Bookman Old Style"/>
                <w:sz w:val="20"/>
                <w:szCs w:val="20"/>
              </w:rPr>
              <w:t>faculty</w:t>
            </w:r>
            <w:r w:rsidR="000E0C7D">
              <w:rPr>
                <w:rFonts w:ascii="Bookman Old Style" w:hAnsi="Bookman Old Style"/>
                <w:sz w:val="20"/>
                <w:szCs w:val="20"/>
              </w:rPr>
              <w:t xml:space="preserve"> into SEPS.</w:t>
            </w:r>
          </w:p>
          <w:p w:rsidR="002F5BC3" w:rsidRPr="00F66DCC" w:rsidRDefault="002F5BC3" w:rsidP="00F66DCC">
            <w:pPr>
              <w:spacing w:line="240" w:lineRule="auto"/>
              <w:rPr>
                <w:rFonts w:ascii="Bookman Old Style" w:hAnsi="Bookman Old Style"/>
                <w:b/>
                <w:sz w:val="20"/>
                <w:szCs w:val="20"/>
              </w:rPr>
            </w:pPr>
          </w:p>
        </w:tc>
        <w:tc>
          <w:tcPr>
            <w:tcW w:w="236" w:type="dxa"/>
            <w:tcBorders>
              <w:top w:val="single" w:sz="4" w:space="0" w:color="auto"/>
              <w:left w:val="single" w:sz="4" w:space="0" w:color="auto"/>
              <w:bottom w:val="single" w:sz="4" w:space="0" w:color="auto"/>
              <w:right w:val="single" w:sz="4" w:space="0" w:color="auto"/>
            </w:tcBorders>
          </w:tcPr>
          <w:p w:rsidR="00F42655" w:rsidRPr="00E258FA" w:rsidRDefault="00F42655" w:rsidP="004A769B">
            <w:pPr>
              <w:spacing w:line="240" w:lineRule="auto"/>
              <w:rPr>
                <w:rFonts w:ascii="Bookman Old Style" w:hAnsi="Bookman Old Style"/>
                <w:sz w:val="20"/>
                <w:szCs w:val="20"/>
              </w:rPr>
            </w:pPr>
          </w:p>
        </w:tc>
      </w:tr>
      <w:tr w:rsidR="00B90BB7" w:rsidTr="005E622A">
        <w:trPr>
          <w:gridAfter w:val="1"/>
          <w:wAfter w:w="34" w:type="dxa"/>
          <w:trHeight w:val="710"/>
        </w:trPr>
        <w:tc>
          <w:tcPr>
            <w:tcW w:w="807" w:type="dxa"/>
            <w:tcBorders>
              <w:top w:val="single" w:sz="4" w:space="0" w:color="auto"/>
              <w:left w:val="single" w:sz="4" w:space="0" w:color="auto"/>
              <w:bottom w:val="single" w:sz="4" w:space="0" w:color="auto"/>
              <w:right w:val="single" w:sz="4" w:space="0" w:color="auto"/>
            </w:tcBorders>
          </w:tcPr>
          <w:p w:rsidR="00B90BB7" w:rsidRDefault="002F5BC3" w:rsidP="00CE21B3">
            <w:pPr>
              <w:spacing w:line="240" w:lineRule="auto"/>
              <w:rPr>
                <w:rFonts w:ascii="Bookman Old Style" w:hAnsi="Bookman Old Style"/>
                <w:sz w:val="20"/>
                <w:szCs w:val="20"/>
              </w:rPr>
            </w:pPr>
            <w:r>
              <w:rPr>
                <w:rFonts w:ascii="Bookman Old Style" w:hAnsi="Bookman Old Style"/>
                <w:sz w:val="20"/>
                <w:szCs w:val="20"/>
              </w:rPr>
              <w:t>X.</w:t>
            </w:r>
          </w:p>
        </w:tc>
        <w:tc>
          <w:tcPr>
            <w:tcW w:w="9813" w:type="dxa"/>
            <w:tcBorders>
              <w:top w:val="single" w:sz="4" w:space="0" w:color="auto"/>
              <w:left w:val="single" w:sz="4" w:space="0" w:color="auto"/>
              <w:bottom w:val="single" w:sz="4" w:space="0" w:color="auto"/>
              <w:right w:val="single" w:sz="4" w:space="0" w:color="auto"/>
            </w:tcBorders>
          </w:tcPr>
          <w:p w:rsidR="003850CB" w:rsidRPr="003850CB" w:rsidRDefault="003850CB" w:rsidP="003850CB">
            <w:pPr>
              <w:spacing w:line="240" w:lineRule="auto"/>
              <w:rPr>
                <w:rFonts w:ascii="Bookman Old Style" w:hAnsi="Bookman Old Style"/>
                <w:b/>
                <w:sz w:val="20"/>
                <w:szCs w:val="20"/>
              </w:rPr>
            </w:pPr>
            <w:r w:rsidRPr="003850CB">
              <w:rPr>
                <w:rFonts w:ascii="Bookman Old Style" w:hAnsi="Bookman Old Style"/>
                <w:b/>
                <w:sz w:val="20"/>
                <w:szCs w:val="20"/>
              </w:rPr>
              <w:t xml:space="preserve">Partnership Subcommittee report </w:t>
            </w:r>
          </w:p>
          <w:p w:rsidR="006F2F12" w:rsidRDefault="006F2F12" w:rsidP="006F2F12">
            <w:pPr>
              <w:spacing w:line="240" w:lineRule="auto"/>
              <w:rPr>
                <w:rFonts w:ascii="Bookman Old Style" w:hAnsi="Bookman Old Style"/>
                <w:sz w:val="20"/>
                <w:szCs w:val="20"/>
              </w:rPr>
            </w:pPr>
            <w:r>
              <w:rPr>
                <w:rFonts w:ascii="Bookman Old Style" w:hAnsi="Bookman Old Style"/>
                <w:sz w:val="20"/>
                <w:szCs w:val="20"/>
              </w:rPr>
              <w:t>Planning for 2017-2018 partnership sub-committee work</w:t>
            </w:r>
          </w:p>
          <w:p w:rsidR="006F2F12" w:rsidRPr="006F2F12" w:rsidRDefault="006F2F12" w:rsidP="006F2F12">
            <w:pPr>
              <w:spacing w:line="240" w:lineRule="auto"/>
              <w:rPr>
                <w:rFonts w:ascii="Bookman Old Style" w:hAnsi="Bookman Old Style"/>
                <w:sz w:val="20"/>
                <w:szCs w:val="20"/>
              </w:rPr>
            </w:pPr>
          </w:p>
          <w:p w:rsidR="003850CB" w:rsidRPr="006F2F12" w:rsidRDefault="003850CB" w:rsidP="003850CB">
            <w:pPr>
              <w:spacing w:line="240" w:lineRule="auto"/>
              <w:rPr>
                <w:rFonts w:ascii="Bookman Old Style" w:hAnsi="Bookman Old Style"/>
                <w:sz w:val="20"/>
                <w:szCs w:val="20"/>
              </w:rPr>
            </w:pPr>
            <w:r w:rsidRPr="006F2F12">
              <w:rPr>
                <w:rFonts w:ascii="Bookman Old Style" w:hAnsi="Bookman Old Style"/>
                <w:sz w:val="20"/>
                <w:szCs w:val="20"/>
              </w:rPr>
              <w:t>Berlin and West Hartford have joined Cromwell, Meriden, Middletown, New Britain, Plainville, Wethersfield and the Bristol world language department as partner districts. Colchester has also reached out to us seeking partnership.</w:t>
            </w:r>
          </w:p>
          <w:p w:rsidR="006F2F12" w:rsidRDefault="003850CB" w:rsidP="003850CB">
            <w:pPr>
              <w:spacing w:line="240" w:lineRule="auto"/>
              <w:rPr>
                <w:rFonts w:ascii="Bookman Old Style" w:hAnsi="Bookman Old Style"/>
                <w:sz w:val="20"/>
                <w:szCs w:val="20"/>
              </w:rPr>
            </w:pPr>
            <w:r w:rsidRPr="006F2F12">
              <w:rPr>
                <w:rFonts w:ascii="Bookman Old Style" w:hAnsi="Bookman Old Style"/>
                <w:sz w:val="20"/>
                <w:szCs w:val="20"/>
              </w:rPr>
              <w:t xml:space="preserve"> </w:t>
            </w:r>
            <w:r w:rsidR="006F2F12">
              <w:rPr>
                <w:rFonts w:ascii="Bookman Old Style" w:hAnsi="Bookman Old Style"/>
                <w:sz w:val="20"/>
                <w:szCs w:val="20"/>
              </w:rPr>
              <w:t xml:space="preserve"> </w:t>
            </w:r>
          </w:p>
          <w:p w:rsidR="003850CB" w:rsidRDefault="003850CB" w:rsidP="003850CB">
            <w:pPr>
              <w:spacing w:line="240" w:lineRule="auto"/>
              <w:rPr>
                <w:rFonts w:ascii="Bookman Old Style" w:hAnsi="Bookman Old Style"/>
                <w:sz w:val="20"/>
                <w:szCs w:val="20"/>
              </w:rPr>
            </w:pPr>
            <w:r>
              <w:rPr>
                <w:rFonts w:ascii="Bookman Old Style" w:hAnsi="Bookman Old Style"/>
                <w:sz w:val="20"/>
                <w:szCs w:val="20"/>
              </w:rPr>
              <w:t>Update on p</w:t>
            </w:r>
            <w:r w:rsidRPr="003850CB">
              <w:rPr>
                <w:rFonts w:ascii="Bookman Old Style" w:hAnsi="Bookman Old Style"/>
                <w:sz w:val="20"/>
                <w:szCs w:val="20"/>
              </w:rPr>
              <w:t xml:space="preserve">otential partner benefits: </w:t>
            </w:r>
          </w:p>
          <w:p w:rsidR="00B56112" w:rsidRPr="003850CB" w:rsidRDefault="00B56112" w:rsidP="003850CB">
            <w:pPr>
              <w:spacing w:line="240" w:lineRule="auto"/>
              <w:rPr>
                <w:rFonts w:ascii="Bookman Old Style" w:hAnsi="Bookman Old Style"/>
                <w:sz w:val="20"/>
                <w:szCs w:val="20"/>
              </w:rPr>
            </w:pPr>
          </w:p>
          <w:p w:rsidR="003850CB" w:rsidRDefault="00B56112" w:rsidP="003850CB">
            <w:pPr>
              <w:spacing w:line="240" w:lineRule="auto"/>
              <w:rPr>
                <w:rFonts w:ascii="Bookman Old Style" w:hAnsi="Bookman Old Style"/>
                <w:sz w:val="20"/>
                <w:szCs w:val="20"/>
              </w:rPr>
            </w:pPr>
            <w:r>
              <w:rPr>
                <w:rFonts w:ascii="Bookman Old Style" w:hAnsi="Bookman Old Style"/>
                <w:sz w:val="20"/>
                <w:szCs w:val="20"/>
              </w:rPr>
              <w:t>*</w:t>
            </w:r>
            <w:r w:rsidR="003850CB" w:rsidRPr="003850CB">
              <w:rPr>
                <w:rFonts w:ascii="Bookman Old Style" w:hAnsi="Bookman Old Style"/>
                <w:sz w:val="20"/>
                <w:szCs w:val="20"/>
              </w:rPr>
              <w:t>We</w:t>
            </w:r>
            <w:r w:rsidRPr="003850CB">
              <w:rPr>
                <w:rFonts w:ascii="Bookman Old Style" w:hAnsi="Bookman Old Style"/>
                <w:sz w:val="20"/>
                <w:szCs w:val="20"/>
              </w:rPr>
              <w:t xml:space="preserve"> </w:t>
            </w:r>
            <w:r>
              <w:rPr>
                <w:rFonts w:ascii="Bookman Old Style" w:hAnsi="Bookman Old Style"/>
                <w:sz w:val="20"/>
                <w:szCs w:val="20"/>
              </w:rPr>
              <w:t>we</w:t>
            </w:r>
            <w:r w:rsidRPr="003850CB">
              <w:rPr>
                <w:rFonts w:ascii="Bookman Old Style" w:hAnsi="Bookman Old Style"/>
                <w:sz w:val="20"/>
                <w:szCs w:val="20"/>
              </w:rPr>
              <w:t>re a finalist</w:t>
            </w:r>
            <w:r>
              <w:rPr>
                <w:rFonts w:ascii="Bookman Old Style" w:hAnsi="Bookman Old Style"/>
                <w:sz w:val="20"/>
                <w:szCs w:val="20"/>
              </w:rPr>
              <w:t xml:space="preserve"> but did not secure </w:t>
            </w:r>
            <w:r w:rsidR="003850CB" w:rsidRPr="003850CB">
              <w:rPr>
                <w:rFonts w:ascii="Bookman Old Style" w:hAnsi="Bookman Old Style"/>
                <w:sz w:val="20"/>
                <w:szCs w:val="20"/>
              </w:rPr>
              <w:t xml:space="preserve">an NCII grant </w:t>
            </w:r>
            <w:r w:rsidR="003850CB">
              <w:rPr>
                <w:rFonts w:ascii="Bookman Old Style" w:hAnsi="Bookman Old Style"/>
                <w:sz w:val="20"/>
                <w:szCs w:val="20"/>
              </w:rPr>
              <w:t>….</w:t>
            </w:r>
            <w:r w:rsidR="003850CB" w:rsidRPr="003850CB">
              <w:rPr>
                <w:rFonts w:ascii="Bookman Old Style" w:hAnsi="Bookman Old Style"/>
                <w:sz w:val="20"/>
                <w:szCs w:val="20"/>
              </w:rPr>
              <w:t xml:space="preserve"> (Joan)</w:t>
            </w:r>
          </w:p>
          <w:p w:rsidR="00B56112" w:rsidRPr="003850CB" w:rsidRDefault="00B56112" w:rsidP="003850CB">
            <w:pPr>
              <w:spacing w:line="240" w:lineRule="auto"/>
              <w:rPr>
                <w:rFonts w:ascii="Bookman Old Style" w:hAnsi="Bookman Old Style"/>
                <w:sz w:val="20"/>
                <w:szCs w:val="20"/>
              </w:rPr>
            </w:pPr>
          </w:p>
          <w:p w:rsidR="003850CB" w:rsidRPr="003850CB" w:rsidRDefault="003850CB" w:rsidP="003850CB">
            <w:pPr>
              <w:spacing w:line="240" w:lineRule="auto"/>
              <w:rPr>
                <w:rFonts w:ascii="Bookman Old Style" w:hAnsi="Bookman Old Style"/>
                <w:sz w:val="20"/>
                <w:szCs w:val="20"/>
              </w:rPr>
            </w:pPr>
            <w:r w:rsidRPr="003850CB">
              <w:rPr>
                <w:rFonts w:ascii="Bookman Old Style" w:hAnsi="Bookman Old Style"/>
                <w:sz w:val="20"/>
                <w:szCs w:val="20"/>
              </w:rPr>
              <w:t>•Potential FREE professional development related to college going</w:t>
            </w:r>
            <w:r>
              <w:rPr>
                <w:rFonts w:ascii="Bookman Old Style" w:hAnsi="Bookman Old Style"/>
                <w:sz w:val="20"/>
                <w:szCs w:val="20"/>
              </w:rPr>
              <w:t xml:space="preserve"> (We had no partner responses to this offer.)</w:t>
            </w:r>
          </w:p>
          <w:p w:rsidR="003850CB" w:rsidRDefault="003850CB" w:rsidP="003850CB">
            <w:pPr>
              <w:spacing w:line="240" w:lineRule="auto"/>
              <w:rPr>
                <w:rFonts w:ascii="Bookman Old Style" w:hAnsi="Bookman Old Style"/>
                <w:sz w:val="20"/>
                <w:szCs w:val="20"/>
              </w:rPr>
            </w:pPr>
            <w:r w:rsidRPr="003850CB">
              <w:rPr>
                <w:rFonts w:ascii="Bookman Old Style" w:hAnsi="Bookman Old Style"/>
                <w:sz w:val="20"/>
                <w:szCs w:val="20"/>
              </w:rPr>
              <w:t>• Social studies grant proposal was not funded how</w:t>
            </w:r>
            <w:r w:rsidR="006F2F12">
              <w:rPr>
                <w:rFonts w:ascii="Bookman Old Style" w:hAnsi="Bookman Old Style"/>
                <w:sz w:val="20"/>
                <w:szCs w:val="20"/>
              </w:rPr>
              <w:t>ever other funding is under discussion..</w:t>
            </w:r>
            <w:r w:rsidRPr="003850CB">
              <w:rPr>
                <w:rFonts w:ascii="Bookman Old Style" w:hAnsi="Bookman Old Style"/>
                <w:sz w:val="20"/>
                <w:szCs w:val="20"/>
              </w:rPr>
              <w:t xml:space="preserve">. </w:t>
            </w:r>
            <w:r w:rsidR="006F2F12">
              <w:rPr>
                <w:rFonts w:ascii="Bookman Old Style" w:hAnsi="Bookman Old Style"/>
                <w:sz w:val="20"/>
                <w:szCs w:val="20"/>
              </w:rPr>
              <w:t xml:space="preserve">stay tuned. </w:t>
            </w:r>
            <w:r w:rsidRPr="003850CB">
              <w:rPr>
                <w:rFonts w:ascii="Bookman Old Style" w:hAnsi="Bookman Old Style"/>
                <w:sz w:val="20"/>
                <w:szCs w:val="20"/>
              </w:rPr>
              <w:t>(John Tully)</w:t>
            </w:r>
          </w:p>
          <w:p w:rsidR="00B90BB7" w:rsidRPr="00E258FA" w:rsidRDefault="00B90BB7" w:rsidP="00CE6862">
            <w:pPr>
              <w:spacing w:line="240" w:lineRule="auto"/>
              <w:rPr>
                <w:rFonts w:ascii="Bookman Old Style" w:hAnsi="Bookman Old Style"/>
                <w:b/>
                <w:sz w:val="20"/>
                <w:szCs w:val="20"/>
              </w:rPr>
            </w:pPr>
          </w:p>
        </w:tc>
        <w:tc>
          <w:tcPr>
            <w:tcW w:w="236" w:type="dxa"/>
            <w:tcBorders>
              <w:top w:val="single" w:sz="4" w:space="0" w:color="auto"/>
              <w:left w:val="single" w:sz="4" w:space="0" w:color="auto"/>
              <w:bottom w:val="single" w:sz="4" w:space="0" w:color="auto"/>
              <w:right w:val="single" w:sz="4" w:space="0" w:color="auto"/>
            </w:tcBorders>
          </w:tcPr>
          <w:p w:rsidR="00B90BB7" w:rsidRPr="00E258FA" w:rsidRDefault="00B90BB7" w:rsidP="004A769B">
            <w:pPr>
              <w:spacing w:line="240" w:lineRule="auto"/>
              <w:rPr>
                <w:rFonts w:ascii="Bookman Old Style" w:hAnsi="Bookman Old Style"/>
                <w:sz w:val="20"/>
                <w:szCs w:val="20"/>
              </w:rPr>
            </w:pPr>
          </w:p>
        </w:tc>
      </w:tr>
      <w:tr w:rsidR="00F25CBA" w:rsidTr="005E622A">
        <w:trPr>
          <w:gridAfter w:val="1"/>
          <w:wAfter w:w="34" w:type="dxa"/>
        </w:trPr>
        <w:tc>
          <w:tcPr>
            <w:tcW w:w="807" w:type="dxa"/>
            <w:tcBorders>
              <w:top w:val="single" w:sz="4" w:space="0" w:color="auto"/>
              <w:left w:val="single" w:sz="4" w:space="0" w:color="auto"/>
              <w:bottom w:val="single" w:sz="4" w:space="0" w:color="auto"/>
              <w:right w:val="single" w:sz="4" w:space="0" w:color="auto"/>
            </w:tcBorders>
          </w:tcPr>
          <w:p w:rsidR="00F25CBA" w:rsidRDefault="002F5BC3" w:rsidP="00F25CBA">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w:t>
            </w:r>
          </w:p>
        </w:tc>
        <w:tc>
          <w:tcPr>
            <w:tcW w:w="9813" w:type="dxa"/>
            <w:tcBorders>
              <w:top w:val="single" w:sz="4" w:space="0" w:color="auto"/>
              <w:left w:val="single" w:sz="4" w:space="0" w:color="auto"/>
              <w:bottom w:val="single" w:sz="4" w:space="0" w:color="auto"/>
              <w:right w:val="single" w:sz="4" w:space="0" w:color="auto"/>
            </w:tcBorders>
          </w:tcPr>
          <w:p w:rsidR="00F25CBA" w:rsidRPr="00E258FA" w:rsidRDefault="00F25CBA" w:rsidP="00F25CBA">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 xml:space="preserve">Curriculum Subcommittee report </w:t>
            </w:r>
            <w:r>
              <w:rPr>
                <w:rFonts w:ascii="Bookman Old Style" w:eastAsia="Calibri" w:hAnsi="Bookman Old Style" w:cs="Times New Roman"/>
                <w:b/>
                <w:sz w:val="20"/>
                <w:szCs w:val="20"/>
              </w:rPr>
              <w:t>– Joan Nicoll-Senft</w:t>
            </w:r>
          </w:p>
          <w:p w:rsidR="00F25CBA" w:rsidRDefault="00F25CBA" w:rsidP="00F25CBA">
            <w:pPr>
              <w:spacing w:line="240" w:lineRule="auto"/>
              <w:contextualSpacing/>
              <w:rPr>
                <w:rFonts w:ascii="Bookman Old Style" w:eastAsia="Calibri" w:hAnsi="Bookman Old Style" w:cs="Times New Roman"/>
                <w:sz w:val="20"/>
                <w:szCs w:val="20"/>
              </w:rPr>
            </w:pPr>
            <w:r w:rsidRPr="00CE21B3">
              <w:rPr>
                <w:rFonts w:ascii="Bookman Old Style" w:eastAsia="Calibri" w:hAnsi="Bookman Old Style" w:cs="Times New Roman"/>
                <w:b/>
                <w:sz w:val="20"/>
                <w:szCs w:val="20"/>
              </w:rPr>
              <w:t xml:space="preserve"> </w:t>
            </w:r>
            <w:r>
              <w:rPr>
                <w:rFonts w:ascii="Bookman Old Style" w:eastAsia="Calibri" w:hAnsi="Bookman Old Style" w:cs="Times New Roman"/>
                <w:sz w:val="20"/>
                <w:szCs w:val="20"/>
              </w:rPr>
              <w:t>Update on implementation of the CTEC curriculum review process….on the curriculum committee consent agenda…. Please make sure your representatives are aware of your support!</w:t>
            </w:r>
          </w:p>
          <w:p w:rsidR="00F25CBA" w:rsidRDefault="00F25CBA" w:rsidP="00F25CBA">
            <w:pPr>
              <w:spacing w:line="240" w:lineRule="auto"/>
              <w:contextualSpacing/>
              <w:rPr>
                <w:rFonts w:ascii="Bookman Old Style" w:eastAsia="Calibri" w:hAnsi="Bookman Old Style" w:cs="Times New Roman"/>
                <w:sz w:val="20"/>
                <w:szCs w:val="20"/>
              </w:rPr>
            </w:pPr>
          </w:p>
          <w:p w:rsidR="00F25CBA" w:rsidRDefault="00F25CBA" w:rsidP="00F25CBA">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Call for K-12 partner representatives.</w:t>
            </w:r>
          </w:p>
          <w:p w:rsidR="00F97CDC" w:rsidRDefault="00F97CDC" w:rsidP="00F25CBA">
            <w:pPr>
              <w:spacing w:line="240" w:lineRule="auto"/>
              <w:contextualSpacing/>
              <w:rPr>
                <w:rFonts w:ascii="Bookman Old Style" w:eastAsia="Calibri" w:hAnsi="Bookman Old Style" w:cs="Times New Roman"/>
                <w:sz w:val="20"/>
                <w:szCs w:val="20"/>
              </w:rPr>
            </w:pPr>
          </w:p>
          <w:p w:rsidR="002F5BC3" w:rsidRDefault="000A44E5" w:rsidP="00F25CBA">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*all partner districts will be sent an invitation</w:t>
            </w:r>
          </w:p>
          <w:p w:rsidR="000A44E5" w:rsidRDefault="000A44E5" w:rsidP="00F25CBA">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*materials will require electronic review and response</w:t>
            </w:r>
          </w:p>
          <w:p w:rsidR="000A44E5" w:rsidRDefault="000A44E5" w:rsidP="00F25CBA">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*whole document will be available on the university curriculum committee page</w:t>
            </w:r>
          </w:p>
          <w:p w:rsidR="000A44E5" w:rsidRDefault="000A44E5" w:rsidP="00F25CBA">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*allow for deadline to be a week earlier for application to professional program to facilitate course registration</w:t>
            </w:r>
          </w:p>
          <w:p w:rsidR="00F25CBA" w:rsidRPr="00E258FA" w:rsidRDefault="00F25CBA" w:rsidP="003506A5">
            <w:pPr>
              <w:spacing w:line="240" w:lineRule="auto"/>
              <w:contextualSpacing/>
              <w:rPr>
                <w:rFonts w:ascii="Bookman Old Style" w:eastAsia="Calibri" w:hAnsi="Bookman Old Style" w:cs="Times New Roman"/>
                <w:b/>
                <w:sz w:val="20"/>
                <w:szCs w:val="20"/>
              </w:rPr>
            </w:pPr>
          </w:p>
        </w:tc>
        <w:tc>
          <w:tcPr>
            <w:tcW w:w="236" w:type="dxa"/>
            <w:tcBorders>
              <w:top w:val="single" w:sz="4" w:space="0" w:color="auto"/>
              <w:left w:val="single" w:sz="4" w:space="0" w:color="auto"/>
              <w:bottom w:val="single" w:sz="4" w:space="0" w:color="auto"/>
              <w:right w:val="single" w:sz="4" w:space="0" w:color="auto"/>
            </w:tcBorders>
          </w:tcPr>
          <w:p w:rsidR="00F25CBA" w:rsidRDefault="00F25CBA" w:rsidP="00F25CBA">
            <w:pPr>
              <w:spacing w:line="240" w:lineRule="auto"/>
              <w:rPr>
                <w:rFonts w:ascii="Bookman Old Style" w:eastAsia="Calibri" w:hAnsi="Bookman Old Style" w:cs="Times New Roman"/>
                <w:sz w:val="20"/>
                <w:szCs w:val="20"/>
              </w:rPr>
            </w:pPr>
          </w:p>
        </w:tc>
      </w:tr>
      <w:tr w:rsidR="00F25CBA" w:rsidTr="005E622A">
        <w:trPr>
          <w:gridAfter w:val="1"/>
          <w:wAfter w:w="34" w:type="dxa"/>
        </w:trPr>
        <w:tc>
          <w:tcPr>
            <w:tcW w:w="807" w:type="dxa"/>
            <w:tcBorders>
              <w:top w:val="single" w:sz="4" w:space="0" w:color="auto"/>
              <w:left w:val="single" w:sz="4" w:space="0" w:color="auto"/>
              <w:bottom w:val="single" w:sz="4" w:space="0" w:color="auto"/>
              <w:right w:val="single" w:sz="4" w:space="0" w:color="auto"/>
            </w:tcBorders>
          </w:tcPr>
          <w:p w:rsidR="00F25CBA" w:rsidRDefault="002F5BC3" w:rsidP="00F25CBA">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XII.</w:t>
            </w:r>
          </w:p>
        </w:tc>
        <w:tc>
          <w:tcPr>
            <w:tcW w:w="9813" w:type="dxa"/>
            <w:tcBorders>
              <w:top w:val="single" w:sz="4" w:space="0" w:color="auto"/>
              <w:left w:val="single" w:sz="4" w:space="0" w:color="auto"/>
              <w:bottom w:val="single" w:sz="4" w:space="0" w:color="auto"/>
              <w:right w:val="single" w:sz="4" w:space="0" w:color="auto"/>
            </w:tcBorders>
          </w:tcPr>
          <w:p w:rsidR="00F25CBA" w:rsidRDefault="00F25CBA" w:rsidP="00F25CBA">
            <w:pPr>
              <w:spacing w:line="240" w:lineRule="auto"/>
              <w:contextualSpacing/>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Assessment Subcommittee repor</w:t>
            </w:r>
            <w:r>
              <w:rPr>
                <w:rFonts w:ascii="Bookman Old Style" w:eastAsia="Calibri" w:hAnsi="Bookman Old Style" w:cs="Times New Roman"/>
                <w:b/>
                <w:sz w:val="20"/>
                <w:szCs w:val="20"/>
              </w:rPr>
              <w:t>t (CAEP</w:t>
            </w:r>
            <w:r w:rsidR="00683EDA">
              <w:rPr>
                <w:rFonts w:ascii="Bookman Old Style" w:eastAsia="Calibri" w:hAnsi="Bookman Old Style" w:cs="Times New Roman"/>
                <w:b/>
                <w:sz w:val="20"/>
                <w:szCs w:val="20"/>
              </w:rPr>
              <w:t xml:space="preserve"> and data reports</w:t>
            </w:r>
            <w:r>
              <w:rPr>
                <w:rFonts w:ascii="Bookman Old Style" w:eastAsia="Calibri" w:hAnsi="Bookman Old Style" w:cs="Times New Roman"/>
                <w:b/>
                <w:sz w:val="20"/>
                <w:szCs w:val="20"/>
              </w:rPr>
              <w:t xml:space="preserve">) </w:t>
            </w:r>
            <w:r>
              <w:rPr>
                <w:rFonts w:ascii="Bookman Old Style" w:hAnsi="Bookman Old Style"/>
                <w:sz w:val="20"/>
                <w:szCs w:val="20"/>
              </w:rPr>
              <w:t>– Mel Horton</w:t>
            </w:r>
          </w:p>
          <w:p w:rsidR="00F25CBA" w:rsidRDefault="00F25CBA" w:rsidP="00F25CBA">
            <w:pPr>
              <w:spacing w:line="240" w:lineRule="auto"/>
              <w:contextualSpacing/>
              <w:rPr>
                <w:rFonts w:ascii="Bookman Old Style" w:hAnsi="Bookman Old Style"/>
                <w:sz w:val="20"/>
                <w:szCs w:val="20"/>
              </w:rPr>
            </w:pPr>
          </w:p>
          <w:p w:rsidR="00AC52E6" w:rsidRDefault="00F25CBA" w:rsidP="003506A5">
            <w:pPr>
              <w:spacing w:line="240" w:lineRule="auto"/>
              <w:contextualSpacing/>
              <w:rPr>
                <w:rFonts w:ascii="Bookman Old Style" w:hAnsi="Bookman Old Style"/>
                <w:sz w:val="20"/>
                <w:szCs w:val="20"/>
              </w:rPr>
            </w:pPr>
            <w:r>
              <w:rPr>
                <w:rFonts w:ascii="Bookman Old Style" w:hAnsi="Bookman Old Style"/>
                <w:sz w:val="20"/>
                <w:szCs w:val="20"/>
              </w:rPr>
              <w:t xml:space="preserve">We will need to include admissions data in our CAEP reporting starting with the cohorts of students admitted to each program in spring 2018. </w:t>
            </w:r>
            <w:r w:rsidR="003506A5" w:rsidRPr="003506A5">
              <w:rPr>
                <w:rFonts w:ascii="Bookman Old Style" w:hAnsi="Bookman Old Style"/>
                <w:sz w:val="20"/>
                <w:szCs w:val="20"/>
              </w:rPr>
              <w:t xml:space="preserve">We need to report on measures of academic achievement (basic skills tests), GPAs, and relevant non-academic behaviors. </w:t>
            </w:r>
            <w:r w:rsidR="00AC52E6">
              <w:rPr>
                <w:rFonts w:ascii="Bookman Old Style" w:hAnsi="Bookman Old Style"/>
                <w:sz w:val="20"/>
                <w:szCs w:val="20"/>
              </w:rPr>
              <w:t>PPT reviewed</w:t>
            </w:r>
            <w:r w:rsidR="003506A5" w:rsidRPr="003506A5">
              <w:rPr>
                <w:rFonts w:ascii="Bookman Old Style" w:hAnsi="Bookman Old Style"/>
                <w:sz w:val="20"/>
                <w:szCs w:val="20"/>
              </w:rPr>
              <w:t xml:space="preserve"> CAEP basics and the assessment committee’s recom</w:t>
            </w:r>
            <w:r w:rsidR="00AC52E6">
              <w:rPr>
                <w:rFonts w:ascii="Bookman Old Style" w:hAnsi="Bookman Old Style"/>
                <w:sz w:val="20"/>
                <w:szCs w:val="20"/>
              </w:rPr>
              <w:t xml:space="preserve">mendations for our next steps. </w:t>
            </w:r>
          </w:p>
          <w:p w:rsidR="00AC52E6" w:rsidRDefault="00AC52E6" w:rsidP="003506A5">
            <w:pPr>
              <w:spacing w:line="240" w:lineRule="auto"/>
              <w:contextualSpacing/>
              <w:rPr>
                <w:rFonts w:ascii="Bookman Old Style" w:hAnsi="Bookman Old Style"/>
                <w:sz w:val="20"/>
                <w:szCs w:val="20"/>
              </w:rPr>
            </w:pPr>
          </w:p>
          <w:p w:rsidR="00AC52E6" w:rsidRDefault="003506A5" w:rsidP="003506A5">
            <w:pPr>
              <w:spacing w:line="240" w:lineRule="auto"/>
              <w:contextualSpacing/>
              <w:rPr>
                <w:rFonts w:ascii="Bookman Old Style" w:hAnsi="Bookman Old Style"/>
                <w:sz w:val="20"/>
                <w:szCs w:val="20"/>
              </w:rPr>
            </w:pPr>
            <w:r>
              <w:rPr>
                <w:rFonts w:ascii="Bookman Old Style" w:hAnsi="Bookman Old Style"/>
                <w:sz w:val="20"/>
                <w:szCs w:val="20"/>
              </w:rPr>
              <w:t>CAEP standards are in conflict with state testing regs--- we need to find a way to appropriately address both sets of concerns and there are some models for doing so. They include assessing academic potential more holistically and also systematically considering identified non-academic behaviors related to success in teaching</w:t>
            </w:r>
            <w:r w:rsidR="00AC52E6">
              <w:rPr>
                <w:rFonts w:ascii="Bookman Old Style" w:hAnsi="Bookman Old Style"/>
                <w:sz w:val="20"/>
                <w:szCs w:val="20"/>
              </w:rPr>
              <w:t xml:space="preserve">. </w:t>
            </w:r>
          </w:p>
          <w:p w:rsidR="00AC52E6" w:rsidRDefault="00AC52E6" w:rsidP="003506A5">
            <w:pPr>
              <w:spacing w:line="240" w:lineRule="auto"/>
              <w:contextualSpacing/>
              <w:rPr>
                <w:rFonts w:ascii="Bookman Old Style" w:hAnsi="Bookman Old Style"/>
                <w:sz w:val="20"/>
                <w:szCs w:val="20"/>
              </w:rPr>
            </w:pPr>
          </w:p>
          <w:p w:rsidR="00AC52E6" w:rsidRDefault="00AC52E6" w:rsidP="003506A5">
            <w:pPr>
              <w:spacing w:line="240" w:lineRule="auto"/>
              <w:contextualSpacing/>
              <w:rPr>
                <w:rFonts w:ascii="Bookman Old Style" w:hAnsi="Bookman Old Style"/>
                <w:sz w:val="20"/>
                <w:szCs w:val="20"/>
              </w:rPr>
            </w:pPr>
            <w:r>
              <w:rPr>
                <w:rFonts w:ascii="Bookman Old Style" w:hAnsi="Bookman Old Style"/>
                <w:sz w:val="20"/>
                <w:szCs w:val="20"/>
              </w:rPr>
              <w:t xml:space="preserve">We need to </w:t>
            </w:r>
            <w:r w:rsidRPr="003506A5">
              <w:rPr>
                <w:rFonts w:ascii="Bookman Old Style" w:hAnsi="Bookman Old Style"/>
                <w:sz w:val="20"/>
                <w:szCs w:val="20"/>
              </w:rPr>
              <w:t>learn about</w:t>
            </w:r>
            <w:r>
              <w:rPr>
                <w:rFonts w:ascii="Bookman Old Style" w:hAnsi="Bookman Old Style"/>
                <w:sz w:val="20"/>
                <w:szCs w:val="20"/>
              </w:rPr>
              <w:t xml:space="preserve"> a</w:t>
            </w:r>
            <w:r w:rsidRPr="003506A5">
              <w:rPr>
                <w:rFonts w:ascii="Bookman Old Style" w:hAnsi="Bookman Old Style"/>
                <w:sz w:val="20"/>
                <w:szCs w:val="20"/>
              </w:rPr>
              <w:t xml:space="preserve"> group interviews for those applying to the professional program – data shows good prediction for success</w:t>
            </w:r>
            <w:r>
              <w:rPr>
                <w:rFonts w:ascii="Bookman Old Style" w:hAnsi="Bookman Old Style"/>
                <w:sz w:val="20"/>
                <w:szCs w:val="20"/>
              </w:rPr>
              <w:t xml:space="preserve"> on non-academic behaviors--- this would likely be in addition to current interviews focused on content knowledge. </w:t>
            </w:r>
          </w:p>
          <w:p w:rsidR="00AC52E6" w:rsidRDefault="00AC52E6" w:rsidP="003506A5">
            <w:pPr>
              <w:spacing w:line="240" w:lineRule="auto"/>
              <w:contextualSpacing/>
              <w:rPr>
                <w:rFonts w:ascii="Bookman Old Style" w:hAnsi="Bookman Old Style"/>
                <w:sz w:val="20"/>
                <w:szCs w:val="20"/>
              </w:rPr>
            </w:pPr>
          </w:p>
          <w:p w:rsidR="00F25CBA" w:rsidRDefault="00AC52E6" w:rsidP="003506A5">
            <w:pPr>
              <w:spacing w:line="240" w:lineRule="auto"/>
              <w:contextualSpacing/>
              <w:rPr>
                <w:rFonts w:ascii="Bookman Old Style" w:hAnsi="Bookman Old Style"/>
                <w:sz w:val="20"/>
                <w:szCs w:val="20"/>
              </w:rPr>
            </w:pPr>
            <w:r>
              <w:rPr>
                <w:rFonts w:ascii="Bookman Old Style" w:hAnsi="Bookman Old Style"/>
                <w:sz w:val="20"/>
                <w:szCs w:val="20"/>
              </w:rPr>
              <w:t>We also have</w:t>
            </w:r>
            <w:r w:rsidR="003506A5">
              <w:rPr>
                <w:rFonts w:ascii="Bookman Old Style" w:hAnsi="Bookman Old Style"/>
                <w:sz w:val="20"/>
                <w:szCs w:val="20"/>
              </w:rPr>
              <w:t xml:space="preserve"> a local need to get that admissions application in earlier in the semester. </w:t>
            </w:r>
            <w:r w:rsidR="003506A5" w:rsidRPr="003506A5">
              <w:rPr>
                <w:rFonts w:ascii="Bookman Old Style" w:hAnsi="Bookman Old Style"/>
                <w:sz w:val="20"/>
                <w:szCs w:val="20"/>
              </w:rPr>
              <w:t>In future, we might consider disseminating information regarding application to the professional program to students in a mandatory meeting or webinar that would be the gateway to submitting the TaskStream application.</w:t>
            </w:r>
            <w:r w:rsidR="003506A5" w:rsidRPr="003506A5">
              <w:rPr>
                <w:rFonts w:ascii="Bookman Old Style" w:hAnsi="Bookman Old Style"/>
                <w:sz w:val="20"/>
                <w:szCs w:val="20"/>
              </w:rPr>
              <w:t xml:space="preserve"> </w:t>
            </w:r>
            <w:r w:rsidR="003506A5" w:rsidRPr="003506A5">
              <w:rPr>
                <w:rFonts w:ascii="Bookman Old Style" w:hAnsi="Bookman Old Style"/>
                <w:sz w:val="20"/>
                <w:szCs w:val="20"/>
              </w:rPr>
              <w:t>Some other program</w:t>
            </w:r>
            <w:r w:rsidR="003506A5">
              <w:rPr>
                <w:rFonts w:ascii="Bookman Old Style" w:hAnsi="Bookman Old Style"/>
                <w:sz w:val="20"/>
                <w:szCs w:val="20"/>
              </w:rPr>
              <w:t>s</w:t>
            </w:r>
            <w:r w:rsidR="003506A5" w:rsidRPr="003506A5">
              <w:rPr>
                <w:rFonts w:ascii="Bookman Old Style" w:hAnsi="Bookman Old Style"/>
                <w:sz w:val="20"/>
                <w:szCs w:val="20"/>
              </w:rPr>
              <w:t xml:space="preserve"> use that strategy to ensure students know what to do</w:t>
            </w:r>
            <w:r w:rsidR="003506A5">
              <w:rPr>
                <w:rFonts w:ascii="Bookman Old Style" w:hAnsi="Bookman Old Style"/>
                <w:sz w:val="20"/>
                <w:szCs w:val="20"/>
              </w:rPr>
              <w:t>.</w:t>
            </w:r>
          </w:p>
          <w:p w:rsidR="00AC52E6" w:rsidRDefault="00AC52E6" w:rsidP="003506A5">
            <w:pPr>
              <w:spacing w:line="240" w:lineRule="auto"/>
              <w:contextualSpacing/>
              <w:rPr>
                <w:rFonts w:ascii="Bookman Old Style" w:hAnsi="Bookman Old Style"/>
                <w:sz w:val="20"/>
                <w:szCs w:val="20"/>
              </w:rPr>
            </w:pPr>
          </w:p>
          <w:p w:rsidR="003506A5" w:rsidRPr="003506A5" w:rsidRDefault="003506A5" w:rsidP="003506A5">
            <w:pPr>
              <w:spacing w:line="240" w:lineRule="auto"/>
              <w:contextualSpacing/>
              <w:rPr>
                <w:rFonts w:ascii="Bookman Old Style" w:hAnsi="Bookman Old Style"/>
                <w:sz w:val="20"/>
                <w:szCs w:val="20"/>
              </w:rPr>
            </w:pPr>
            <w:r w:rsidRPr="003506A5">
              <w:rPr>
                <w:rFonts w:ascii="Bookman Old Style" w:hAnsi="Bookman Old Style"/>
                <w:sz w:val="20"/>
                <w:szCs w:val="20"/>
              </w:rPr>
              <w:t xml:space="preserve">*GPA waiver clarification – qualifies the student for </w:t>
            </w:r>
            <w:r w:rsidRPr="00AC52E6">
              <w:rPr>
                <w:rFonts w:ascii="Bookman Old Style" w:hAnsi="Bookman Old Style"/>
                <w:sz w:val="20"/>
                <w:szCs w:val="20"/>
                <w:u w:val="single"/>
              </w:rPr>
              <w:t>consideration</w:t>
            </w:r>
            <w:r w:rsidRPr="003506A5">
              <w:rPr>
                <w:rFonts w:ascii="Bookman Old Style" w:hAnsi="Bookman Old Style"/>
                <w:sz w:val="20"/>
                <w:szCs w:val="20"/>
              </w:rPr>
              <w:t xml:space="preserve"> for admittance into the program</w:t>
            </w:r>
          </w:p>
          <w:p w:rsidR="00F25CBA" w:rsidRDefault="00F25CBA" w:rsidP="00F25CBA">
            <w:pPr>
              <w:spacing w:line="240" w:lineRule="auto"/>
              <w:contextualSpacing/>
              <w:rPr>
                <w:rFonts w:ascii="Bookman Old Style" w:hAnsi="Bookman Old Style"/>
                <w:sz w:val="20"/>
                <w:szCs w:val="20"/>
              </w:rPr>
            </w:pPr>
          </w:p>
          <w:p w:rsidR="00683EDA" w:rsidRDefault="00AC52E6" w:rsidP="00970A26">
            <w:pPr>
              <w:spacing w:line="240" w:lineRule="auto"/>
              <w:contextualSpacing/>
              <w:rPr>
                <w:rFonts w:ascii="Bookman Old Style" w:hAnsi="Bookman Old Style"/>
                <w:sz w:val="20"/>
                <w:szCs w:val="20"/>
              </w:rPr>
            </w:pPr>
            <w:r>
              <w:rPr>
                <w:rFonts w:ascii="Bookman Old Style" w:hAnsi="Bookman Old Style"/>
                <w:sz w:val="20"/>
                <w:szCs w:val="20"/>
              </w:rPr>
              <w:t>Data</w:t>
            </w:r>
            <w:r w:rsidR="00683EDA">
              <w:rPr>
                <w:rFonts w:ascii="Bookman Old Style" w:hAnsi="Bookman Old Style"/>
                <w:sz w:val="20"/>
                <w:szCs w:val="20"/>
              </w:rPr>
              <w:t xml:space="preserve"> reports on basic skills tests and GPAs for your pr</w:t>
            </w:r>
            <w:r>
              <w:rPr>
                <w:rFonts w:ascii="Bookman Old Style" w:hAnsi="Bookman Old Style"/>
                <w:sz w:val="20"/>
                <w:szCs w:val="20"/>
              </w:rPr>
              <w:t>ogram’s Fall 2017 applicants a</w:t>
            </w:r>
            <w:r w:rsidR="00683EDA">
              <w:rPr>
                <w:rFonts w:ascii="Bookman Old Style" w:hAnsi="Bookman Old Style"/>
                <w:sz w:val="20"/>
                <w:szCs w:val="20"/>
              </w:rPr>
              <w:t>nd Praxis II score</w:t>
            </w:r>
            <w:r>
              <w:rPr>
                <w:rFonts w:ascii="Bookman Old Style" w:hAnsi="Bookman Old Style"/>
                <w:sz w:val="20"/>
                <w:szCs w:val="20"/>
              </w:rPr>
              <w:t xml:space="preserve"> reports for each program were disseminated. </w:t>
            </w:r>
            <w:r w:rsidR="00683EDA">
              <w:rPr>
                <w:rFonts w:ascii="Bookman Old Style" w:hAnsi="Bookman Old Style"/>
                <w:sz w:val="20"/>
                <w:szCs w:val="20"/>
              </w:rPr>
              <w:t xml:space="preserve"> </w:t>
            </w:r>
          </w:p>
          <w:p w:rsidR="00F25CBA" w:rsidRPr="00F66DCC" w:rsidRDefault="00F25CBA" w:rsidP="00970A26">
            <w:pPr>
              <w:spacing w:line="240" w:lineRule="auto"/>
              <w:contextualSpacing/>
              <w:rPr>
                <w:rFonts w:ascii="Bookman Old Style" w:eastAsia="Calibri" w:hAnsi="Bookman Old Style" w:cs="Times New Roman"/>
                <w:sz w:val="20"/>
                <w:szCs w:val="20"/>
              </w:rPr>
            </w:pPr>
          </w:p>
        </w:tc>
        <w:tc>
          <w:tcPr>
            <w:tcW w:w="236" w:type="dxa"/>
            <w:tcBorders>
              <w:top w:val="single" w:sz="4" w:space="0" w:color="auto"/>
              <w:left w:val="single" w:sz="4" w:space="0" w:color="auto"/>
              <w:bottom w:val="single" w:sz="4" w:space="0" w:color="auto"/>
              <w:right w:val="single" w:sz="4" w:space="0" w:color="auto"/>
            </w:tcBorders>
          </w:tcPr>
          <w:p w:rsidR="00F25CBA" w:rsidRDefault="00F25CBA" w:rsidP="00F25CBA">
            <w:pPr>
              <w:spacing w:line="240" w:lineRule="auto"/>
              <w:rPr>
                <w:rFonts w:ascii="Bookman Old Style" w:eastAsia="Calibri" w:hAnsi="Bookman Old Style" w:cs="Times New Roman"/>
                <w:sz w:val="20"/>
                <w:szCs w:val="20"/>
              </w:rPr>
            </w:pPr>
          </w:p>
        </w:tc>
      </w:tr>
      <w:tr w:rsidR="00F25CBA" w:rsidTr="005E622A">
        <w:trPr>
          <w:gridAfter w:val="1"/>
          <w:wAfter w:w="34" w:type="dxa"/>
        </w:trPr>
        <w:tc>
          <w:tcPr>
            <w:tcW w:w="807" w:type="dxa"/>
            <w:tcBorders>
              <w:top w:val="single" w:sz="4" w:space="0" w:color="auto"/>
              <w:left w:val="single" w:sz="4" w:space="0" w:color="auto"/>
              <w:bottom w:val="single" w:sz="4" w:space="0" w:color="auto"/>
              <w:right w:val="single" w:sz="4" w:space="0" w:color="auto"/>
            </w:tcBorders>
          </w:tcPr>
          <w:p w:rsidR="00F25CBA" w:rsidRDefault="002F5BC3" w:rsidP="00F25CBA">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XIV.</w:t>
            </w:r>
          </w:p>
        </w:tc>
        <w:tc>
          <w:tcPr>
            <w:tcW w:w="9813" w:type="dxa"/>
            <w:tcBorders>
              <w:top w:val="single" w:sz="4" w:space="0" w:color="auto"/>
              <w:left w:val="single" w:sz="4" w:space="0" w:color="auto"/>
              <w:bottom w:val="single" w:sz="4" w:space="0" w:color="auto"/>
              <w:right w:val="single" w:sz="4" w:space="0" w:color="auto"/>
            </w:tcBorders>
          </w:tcPr>
          <w:p w:rsidR="00B56112" w:rsidRDefault="00683EDA" w:rsidP="00B56112">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b/>
                <w:sz w:val="20"/>
                <w:szCs w:val="20"/>
              </w:rPr>
              <w:t>IF TIME</w:t>
            </w:r>
            <w:r w:rsidRPr="00C41149">
              <w:rPr>
                <w:rFonts w:ascii="Bookman Old Style" w:eastAsia="Calibri" w:hAnsi="Bookman Old Style" w:cs="Times New Roman"/>
                <w:sz w:val="20"/>
                <w:szCs w:val="20"/>
              </w:rPr>
              <w:t xml:space="preserve">: a first look at draft design (still tinkering) of a 5 year integrated bachelor’s and master’s program in special education. </w:t>
            </w:r>
            <w:r w:rsidR="000E0C7D">
              <w:rPr>
                <w:rFonts w:ascii="Bookman Old Style" w:eastAsia="Calibri" w:hAnsi="Bookman Old Style" w:cs="Times New Roman"/>
                <w:sz w:val="20"/>
                <w:szCs w:val="20"/>
              </w:rPr>
              <w:t>WE DID NOT GET TO THIS.</w:t>
            </w:r>
          </w:p>
          <w:p w:rsidR="00F25CBA" w:rsidRPr="00E258FA" w:rsidRDefault="00F25CBA" w:rsidP="000E0C7D">
            <w:pPr>
              <w:spacing w:line="240" w:lineRule="auto"/>
              <w:contextualSpacing/>
              <w:rPr>
                <w:rFonts w:ascii="Bookman Old Style" w:eastAsia="Calibri" w:hAnsi="Bookman Old Style" w:cs="Times New Roman"/>
                <w:b/>
                <w:sz w:val="20"/>
                <w:szCs w:val="20"/>
              </w:rPr>
            </w:pPr>
          </w:p>
        </w:tc>
        <w:tc>
          <w:tcPr>
            <w:tcW w:w="236" w:type="dxa"/>
            <w:tcBorders>
              <w:top w:val="single" w:sz="4" w:space="0" w:color="auto"/>
              <w:left w:val="single" w:sz="4" w:space="0" w:color="auto"/>
              <w:bottom w:val="single" w:sz="4" w:space="0" w:color="auto"/>
              <w:right w:val="single" w:sz="4" w:space="0" w:color="auto"/>
            </w:tcBorders>
          </w:tcPr>
          <w:p w:rsidR="00F25CBA" w:rsidRDefault="00F25CBA" w:rsidP="00B150BF">
            <w:pPr>
              <w:spacing w:line="240" w:lineRule="auto"/>
              <w:rPr>
                <w:rFonts w:ascii="Bookman Old Style" w:eastAsia="Calibri" w:hAnsi="Bookman Old Style" w:cs="Times New Roman"/>
                <w:sz w:val="20"/>
                <w:szCs w:val="20"/>
              </w:rPr>
            </w:pPr>
          </w:p>
        </w:tc>
      </w:tr>
    </w:tbl>
    <w:p w:rsidR="009B26E4" w:rsidRDefault="009B26E4"/>
    <w:tbl>
      <w:tblPr>
        <w:tblStyle w:val="TableGrid1"/>
        <w:tblW w:w="10890" w:type="dxa"/>
        <w:tblInd w:w="-185" w:type="dxa"/>
        <w:tblLayout w:type="fixed"/>
        <w:tblLook w:val="04A0" w:firstRow="1" w:lastRow="0" w:firstColumn="1" w:lastColumn="0" w:noHBand="0" w:noVBand="1"/>
      </w:tblPr>
      <w:tblGrid>
        <w:gridCol w:w="807"/>
        <w:gridCol w:w="9810"/>
        <w:gridCol w:w="273"/>
      </w:tblGrid>
      <w:tr w:rsidR="00750342" w:rsidTr="005E622A">
        <w:tc>
          <w:tcPr>
            <w:tcW w:w="807"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jc w:val="both"/>
              <w:rPr>
                <w:rFonts w:ascii="Bookman Old Style" w:eastAsia="Calibri" w:hAnsi="Bookman Old Style" w:cs="Times New Roman"/>
                <w:sz w:val="20"/>
                <w:szCs w:val="20"/>
              </w:rPr>
            </w:pPr>
          </w:p>
        </w:tc>
        <w:tc>
          <w:tcPr>
            <w:tcW w:w="9810" w:type="dxa"/>
            <w:tcBorders>
              <w:top w:val="single" w:sz="4" w:space="0" w:color="auto"/>
              <w:left w:val="single" w:sz="4" w:space="0" w:color="auto"/>
              <w:bottom w:val="single" w:sz="4" w:space="0" w:color="auto"/>
              <w:right w:val="single" w:sz="4" w:space="0" w:color="auto"/>
            </w:tcBorders>
          </w:tcPr>
          <w:p w:rsidR="00ED56B3" w:rsidRPr="00932EB8" w:rsidRDefault="00ED56B3" w:rsidP="00932EB8">
            <w:pPr>
              <w:tabs>
                <w:tab w:val="left" w:pos="2025"/>
              </w:tabs>
              <w:spacing w:after="160" w:line="240" w:lineRule="auto"/>
              <w:rPr>
                <w:rFonts w:ascii="Bookman Old Style" w:hAnsi="Bookman Old Style"/>
                <w:b/>
                <w:sz w:val="20"/>
                <w:szCs w:val="20"/>
              </w:rPr>
            </w:pPr>
          </w:p>
        </w:tc>
        <w:tc>
          <w:tcPr>
            <w:tcW w:w="273"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sz w:val="20"/>
                <w:szCs w:val="20"/>
              </w:rPr>
            </w:pPr>
          </w:p>
        </w:tc>
      </w:tr>
      <w:tr w:rsidR="00750342" w:rsidTr="007F0BDC">
        <w:trPr>
          <w:trHeight w:val="1592"/>
        </w:trPr>
        <w:tc>
          <w:tcPr>
            <w:tcW w:w="807" w:type="dxa"/>
            <w:tcBorders>
              <w:top w:val="single" w:sz="4" w:space="0" w:color="auto"/>
              <w:left w:val="single" w:sz="4" w:space="0" w:color="auto"/>
              <w:bottom w:val="single" w:sz="4" w:space="0" w:color="auto"/>
              <w:right w:val="single" w:sz="4" w:space="0" w:color="auto"/>
            </w:tcBorders>
            <w:hideMark/>
          </w:tcPr>
          <w:p w:rsidR="00750342" w:rsidRPr="009E44E2" w:rsidRDefault="00750342" w:rsidP="006B4054">
            <w:pPr>
              <w:spacing w:line="240" w:lineRule="auto"/>
              <w:jc w:val="both"/>
              <w:rPr>
                <w:rFonts w:ascii="Bookman Old Style" w:eastAsia="Calibri" w:hAnsi="Bookman Old Style" w:cs="Times New Roman"/>
                <w:sz w:val="18"/>
                <w:szCs w:val="18"/>
              </w:rPr>
            </w:pPr>
            <w:r>
              <w:br w:type="page"/>
            </w:r>
            <w:r w:rsidR="002F5BC3">
              <w:t>XV.</w:t>
            </w:r>
          </w:p>
        </w:tc>
        <w:tc>
          <w:tcPr>
            <w:tcW w:w="9810" w:type="dxa"/>
            <w:tcBorders>
              <w:top w:val="single" w:sz="4" w:space="0" w:color="auto"/>
              <w:left w:val="single" w:sz="4" w:space="0" w:color="auto"/>
              <w:bottom w:val="single" w:sz="4" w:space="0" w:color="auto"/>
              <w:right w:val="single" w:sz="4" w:space="0" w:color="auto"/>
            </w:tcBorders>
          </w:tcPr>
          <w:p w:rsidR="00750342" w:rsidRDefault="00750342">
            <w:pPr>
              <w:tabs>
                <w:tab w:val="left" w:pos="2230"/>
              </w:tabs>
              <w:spacing w:line="240" w:lineRule="auto"/>
              <w:rPr>
                <w:rFonts w:ascii="Bookman Old Style" w:eastAsia="Calibri" w:hAnsi="Bookman Old Style" w:cs="Times New Roman"/>
                <w:sz w:val="20"/>
                <w:szCs w:val="20"/>
              </w:rPr>
            </w:pPr>
            <w:r w:rsidRPr="006B4054">
              <w:rPr>
                <w:rFonts w:ascii="Bookman Old Style" w:eastAsia="Calibri" w:hAnsi="Bookman Old Style" w:cs="Times New Roman"/>
                <w:b/>
                <w:sz w:val="20"/>
                <w:szCs w:val="20"/>
              </w:rPr>
              <w:t xml:space="preserve">CTEC meetings for </w:t>
            </w:r>
            <w:r w:rsidR="004948E7" w:rsidRPr="006B4054">
              <w:rPr>
                <w:rFonts w:ascii="Bookman Old Style" w:eastAsia="Calibri" w:hAnsi="Bookman Old Style" w:cs="Times New Roman"/>
                <w:b/>
                <w:sz w:val="20"/>
                <w:szCs w:val="20"/>
              </w:rPr>
              <w:t>2017-2018</w:t>
            </w:r>
            <w:r w:rsidRPr="006B4054">
              <w:rPr>
                <w:rFonts w:ascii="Bookman Old Style" w:eastAsia="Calibri" w:hAnsi="Bookman Old Style" w:cs="Times New Roman"/>
                <w:b/>
                <w:sz w:val="20"/>
                <w:szCs w:val="20"/>
              </w:rPr>
              <w:t xml:space="preserve"> academic year</w:t>
            </w:r>
            <w:r w:rsidRPr="009F4BB4">
              <w:rPr>
                <w:rFonts w:ascii="Bookman Old Style" w:eastAsia="Calibri" w:hAnsi="Bookman Old Style" w:cs="Times New Roman"/>
                <w:sz w:val="20"/>
                <w:szCs w:val="20"/>
              </w:rPr>
              <w:t xml:space="preserve"> </w:t>
            </w:r>
            <w:r w:rsidR="009F4BB4">
              <w:rPr>
                <w:rFonts w:ascii="Bookman Old Style" w:eastAsia="Calibri" w:hAnsi="Bookman Old Style" w:cs="Times New Roman"/>
                <w:sz w:val="20"/>
                <w:szCs w:val="20"/>
              </w:rPr>
              <w:t>(all are</w:t>
            </w:r>
            <w:r w:rsidR="00970A26">
              <w:rPr>
                <w:rFonts w:ascii="Bookman Old Style" w:eastAsia="Calibri" w:hAnsi="Bookman Old Style" w:cs="Times New Roman"/>
                <w:sz w:val="20"/>
                <w:szCs w:val="20"/>
              </w:rPr>
              <w:t xml:space="preserve"> </w:t>
            </w:r>
            <w:r w:rsidR="009F4BB4">
              <w:rPr>
                <w:rFonts w:ascii="Bookman Old Style" w:eastAsia="Calibri" w:hAnsi="Bookman Old Style" w:cs="Times New Roman"/>
                <w:sz w:val="20"/>
                <w:szCs w:val="20"/>
              </w:rPr>
              <w:t xml:space="preserve">3:15 – 5:00 in 1849 room of Student Center): </w:t>
            </w:r>
            <w:r w:rsidR="00683EDA">
              <w:rPr>
                <w:rFonts w:ascii="Bookman Old Style" w:eastAsia="Calibri" w:hAnsi="Bookman Old Style" w:cs="Times New Roman"/>
                <w:sz w:val="20"/>
                <w:szCs w:val="20"/>
              </w:rPr>
              <w:t xml:space="preserve">October 19, </w:t>
            </w:r>
            <w:r w:rsidR="009F4BB4">
              <w:rPr>
                <w:rFonts w:ascii="Bookman Old Style" w:eastAsia="Calibri" w:hAnsi="Bookman Old Style" w:cs="Times New Roman"/>
                <w:sz w:val="20"/>
                <w:szCs w:val="20"/>
              </w:rPr>
              <w:t>November16 , December 14</w:t>
            </w:r>
            <w:r w:rsidR="00970A26">
              <w:rPr>
                <w:rFonts w:ascii="Bookman Old Style" w:eastAsia="Calibri" w:hAnsi="Bookman Old Style" w:cs="Times New Roman"/>
                <w:sz w:val="20"/>
                <w:szCs w:val="20"/>
              </w:rPr>
              <w:t xml:space="preserve">  </w:t>
            </w:r>
            <w:r w:rsidR="00683EDA">
              <w:rPr>
                <w:rFonts w:ascii="Bookman Old Style" w:eastAsia="Calibri" w:hAnsi="Bookman Old Style" w:cs="Times New Roman"/>
                <w:sz w:val="20"/>
                <w:szCs w:val="20"/>
              </w:rPr>
              <w:t>(</w:t>
            </w:r>
            <w:r w:rsidR="00970A26">
              <w:rPr>
                <w:rFonts w:ascii="Bookman Old Style" w:eastAsia="Calibri" w:hAnsi="Bookman Old Style" w:cs="Times New Roman"/>
                <w:sz w:val="20"/>
                <w:szCs w:val="20"/>
              </w:rPr>
              <w:t>expected to be an afternoon retreat rather than a regular meeting)</w:t>
            </w:r>
            <w:r w:rsidR="009F4BB4">
              <w:rPr>
                <w:rFonts w:ascii="Bookman Old Style" w:eastAsia="Calibri" w:hAnsi="Bookman Old Style" w:cs="Times New Roman"/>
                <w:sz w:val="20"/>
                <w:szCs w:val="20"/>
              </w:rPr>
              <w:t>, January 25, February</w:t>
            </w:r>
            <w:r w:rsidR="006B4054">
              <w:rPr>
                <w:rFonts w:ascii="Bookman Old Style" w:eastAsia="Calibri" w:hAnsi="Bookman Old Style" w:cs="Times New Roman"/>
                <w:sz w:val="20"/>
                <w:szCs w:val="20"/>
              </w:rPr>
              <w:t xml:space="preserve"> 22</w:t>
            </w:r>
            <w:r w:rsidR="009F4BB4">
              <w:rPr>
                <w:rFonts w:ascii="Bookman Old Style" w:eastAsia="Calibri" w:hAnsi="Bookman Old Style" w:cs="Times New Roman"/>
                <w:sz w:val="20"/>
                <w:szCs w:val="20"/>
              </w:rPr>
              <w:t>, March</w:t>
            </w:r>
            <w:r w:rsidR="006B4054">
              <w:rPr>
                <w:rFonts w:ascii="Bookman Old Style" w:eastAsia="Calibri" w:hAnsi="Bookman Old Style" w:cs="Times New Roman"/>
                <w:sz w:val="20"/>
                <w:szCs w:val="20"/>
              </w:rPr>
              <w:t xml:space="preserve"> 22</w:t>
            </w:r>
            <w:r w:rsidR="009F4BB4">
              <w:rPr>
                <w:rFonts w:ascii="Bookman Old Style" w:eastAsia="Calibri" w:hAnsi="Bookman Old Style" w:cs="Times New Roman"/>
                <w:sz w:val="20"/>
                <w:szCs w:val="20"/>
              </w:rPr>
              <w:t>, April</w:t>
            </w:r>
            <w:r w:rsidR="006B4054">
              <w:rPr>
                <w:rFonts w:ascii="Bookman Old Style" w:eastAsia="Calibri" w:hAnsi="Bookman Old Style" w:cs="Times New Roman"/>
                <w:sz w:val="20"/>
                <w:szCs w:val="20"/>
              </w:rPr>
              <w:t xml:space="preserve"> 26</w:t>
            </w:r>
            <w:r w:rsidR="009F4BB4">
              <w:rPr>
                <w:rFonts w:ascii="Bookman Old Style" w:eastAsia="Calibri" w:hAnsi="Bookman Old Style" w:cs="Times New Roman"/>
                <w:sz w:val="20"/>
                <w:szCs w:val="20"/>
              </w:rPr>
              <w:t xml:space="preserve">, </w:t>
            </w:r>
            <w:r w:rsidR="00970A26">
              <w:rPr>
                <w:rFonts w:ascii="Bookman Old Style" w:eastAsia="Calibri" w:hAnsi="Bookman Old Style" w:cs="Times New Roman"/>
                <w:sz w:val="20"/>
                <w:szCs w:val="20"/>
              </w:rPr>
              <w:t xml:space="preserve">and </w:t>
            </w:r>
            <w:r w:rsidR="009F4BB4">
              <w:rPr>
                <w:rFonts w:ascii="Bookman Old Style" w:eastAsia="Calibri" w:hAnsi="Bookman Old Style" w:cs="Times New Roman"/>
                <w:sz w:val="20"/>
                <w:szCs w:val="20"/>
              </w:rPr>
              <w:t xml:space="preserve">May </w:t>
            </w:r>
            <w:r w:rsidR="006B4054">
              <w:rPr>
                <w:rFonts w:ascii="Bookman Old Style" w:eastAsia="Calibri" w:hAnsi="Bookman Old Style" w:cs="Times New Roman"/>
                <w:sz w:val="20"/>
                <w:szCs w:val="20"/>
              </w:rPr>
              <w:t>10.</w:t>
            </w:r>
          </w:p>
          <w:p w:rsidR="00D141C7" w:rsidRPr="009F4BB4" w:rsidRDefault="00D141C7">
            <w:pPr>
              <w:tabs>
                <w:tab w:val="left" w:pos="2230"/>
              </w:tabs>
              <w:spacing w:line="240" w:lineRule="auto"/>
              <w:rPr>
                <w:rFonts w:ascii="Bookman Old Style" w:eastAsia="Calibri" w:hAnsi="Bookman Old Style" w:cs="Times New Roman"/>
                <w:sz w:val="20"/>
                <w:szCs w:val="20"/>
              </w:rPr>
            </w:pPr>
          </w:p>
          <w:p w:rsidR="00E258FA" w:rsidRPr="00E258FA" w:rsidRDefault="00FA218C" w:rsidP="0065268C">
            <w:pPr>
              <w:tabs>
                <w:tab w:val="left" w:pos="2230"/>
              </w:tabs>
              <w:spacing w:line="240" w:lineRule="auto"/>
              <w:rPr>
                <w:rFonts w:ascii="Bookman Old Style" w:eastAsia="Calibri" w:hAnsi="Bookman Old Style" w:cs="Times New Roman"/>
                <w:b/>
                <w:sz w:val="20"/>
                <w:szCs w:val="20"/>
              </w:rPr>
            </w:pPr>
            <w:r w:rsidRPr="00FA218C">
              <w:rPr>
                <w:rFonts w:ascii="Bookman Old Style" w:eastAsia="Calibri" w:hAnsi="Bookman Old Style" w:cs="Times New Roman"/>
                <w:sz w:val="20"/>
                <w:szCs w:val="20"/>
              </w:rPr>
              <w:t>We are soon to receive a</w:t>
            </w:r>
            <w:r>
              <w:rPr>
                <w:rFonts w:ascii="Bookman Old Style" w:eastAsia="Calibri" w:hAnsi="Bookman Old Style" w:cs="Times New Roman"/>
                <w:b/>
                <w:sz w:val="20"/>
                <w:szCs w:val="20"/>
              </w:rPr>
              <w:t xml:space="preserve"> n</w:t>
            </w:r>
            <w:r w:rsidR="00E3123B">
              <w:rPr>
                <w:rFonts w:ascii="Bookman Old Style" w:eastAsia="Calibri" w:hAnsi="Bookman Old Style" w:cs="Times New Roman"/>
                <w:b/>
                <w:sz w:val="20"/>
                <w:szCs w:val="20"/>
              </w:rPr>
              <w:t xml:space="preserve">ational evaluation report </w:t>
            </w:r>
            <w:r w:rsidR="00E3123B" w:rsidRPr="00E3123B">
              <w:rPr>
                <w:rFonts w:ascii="Bookman Old Style" w:eastAsia="Calibri" w:hAnsi="Bookman Old Style" w:cs="Times New Roman"/>
                <w:sz w:val="20"/>
                <w:szCs w:val="20"/>
              </w:rPr>
              <w:t xml:space="preserve">on </w:t>
            </w:r>
            <w:r w:rsidR="0065268C">
              <w:rPr>
                <w:rFonts w:ascii="Bookman Old Style" w:eastAsia="Calibri" w:hAnsi="Bookman Old Style" w:cs="Times New Roman"/>
                <w:sz w:val="20"/>
                <w:szCs w:val="20"/>
              </w:rPr>
              <w:t xml:space="preserve">outcomes of </w:t>
            </w:r>
            <w:r w:rsidR="00E3123B" w:rsidRPr="00E3123B">
              <w:rPr>
                <w:rFonts w:ascii="Bookman Old Style" w:eastAsia="Calibri" w:hAnsi="Bookman Old Style" w:cs="Times New Roman"/>
                <w:sz w:val="20"/>
                <w:szCs w:val="20"/>
              </w:rPr>
              <w:t xml:space="preserve">the </w:t>
            </w:r>
            <w:r w:rsidR="0065268C" w:rsidRPr="00E3123B">
              <w:rPr>
                <w:rFonts w:ascii="Bookman Old Style" w:eastAsia="Calibri" w:hAnsi="Bookman Old Style" w:cs="Times New Roman"/>
                <w:sz w:val="20"/>
                <w:szCs w:val="20"/>
              </w:rPr>
              <w:t>CEEDAR grant</w:t>
            </w:r>
            <w:r w:rsidR="0065268C">
              <w:rPr>
                <w:rFonts w:ascii="Bookman Old Style" w:eastAsia="Calibri" w:hAnsi="Bookman Old Style" w:cs="Times New Roman"/>
                <w:sz w:val="20"/>
                <w:szCs w:val="20"/>
              </w:rPr>
              <w:t xml:space="preserve"> </w:t>
            </w:r>
            <w:r w:rsidR="00E3123B" w:rsidRPr="00E3123B">
              <w:rPr>
                <w:rFonts w:ascii="Bookman Old Style" w:eastAsia="Calibri" w:hAnsi="Bookman Old Style" w:cs="Times New Roman"/>
                <w:sz w:val="20"/>
                <w:szCs w:val="20"/>
              </w:rPr>
              <w:t xml:space="preserve">work </w:t>
            </w:r>
            <w:r w:rsidR="0065268C">
              <w:rPr>
                <w:rFonts w:ascii="Bookman Old Style" w:eastAsia="Calibri" w:hAnsi="Bookman Old Style" w:cs="Times New Roman"/>
                <w:sz w:val="20"/>
                <w:szCs w:val="20"/>
              </w:rPr>
              <w:t>that Joan led</w:t>
            </w:r>
            <w:r>
              <w:rPr>
                <w:rFonts w:ascii="Bookman Old Style" w:eastAsia="Calibri" w:hAnsi="Bookman Old Style" w:cs="Times New Roman"/>
                <w:sz w:val="20"/>
                <w:szCs w:val="20"/>
              </w:rPr>
              <w:t>.</w:t>
            </w:r>
            <w:bookmarkStart w:id="0" w:name="_GoBack"/>
            <w:bookmarkEnd w:id="0"/>
          </w:p>
        </w:tc>
        <w:tc>
          <w:tcPr>
            <w:tcW w:w="273"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rPr>
                <w:rFonts w:ascii="Bookman Old Style" w:eastAsia="Calibri" w:hAnsi="Bookman Old Style" w:cs="Times New Roman"/>
                <w:sz w:val="20"/>
                <w:szCs w:val="20"/>
              </w:rPr>
            </w:pPr>
          </w:p>
        </w:tc>
      </w:tr>
      <w:tr w:rsidR="00750342" w:rsidTr="005E622A">
        <w:trPr>
          <w:trHeight w:val="620"/>
        </w:trPr>
        <w:tc>
          <w:tcPr>
            <w:tcW w:w="807" w:type="dxa"/>
            <w:tcBorders>
              <w:top w:val="single" w:sz="4" w:space="0" w:color="auto"/>
              <w:left w:val="single" w:sz="4" w:space="0" w:color="auto"/>
              <w:bottom w:val="single" w:sz="4" w:space="0" w:color="auto"/>
              <w:right w:val="single" w:sz="4" w:space="0" w:color="auto"/>
            </w:tcBorders>
          </w:tcPr>
          <w:p w:rsidR="00750342" w:rsidRDefault="002F5BC3" w:rsidP="00E258FA">
            <w:pPr>
              <w:spacing w:line="240" w:lineRule="auto"/>
              <w:jc w:val="both"/>
              <w:rPr>
                <w:rFonts w:ascii="Bookman Old Style" w:eastAsia="Calibri" w:hAnsi="Bookman Old Style" w:cs="Times New Roman"/>
                <w:b/>
                <w:sz w:val="20"/>
                <w:szCs w:val="20"/>
              </w:rPr>
            </w:pPr>
            <w:r>
              <w:rPr>
                <w:rFonts w:ascii="Bookman Old Style" w:eastAsia="Calibri" w:hAnsi="Bookman Old Style" w:cs="Times New Roman"/>
                <w:b/>
                <w:sz w:val="20"/>
                <w:szCs w:val="20"/>
              </w:rPr>
              <w:t>CTEC</w:t>
            </w:r>
          </w:p>
          <w:p w:rsidR="002F5BC3" w:rsidRDefault="002F5BC3" w:rsidP="00E258FA">
            <w:pPr>
              <w:spacing w:line="240" w:lineRule="auto"/>
              <w:jc w:val="both"/>
              <w:rPr>
                <w:rFonts w:ascii="Bookman Old Style" w:eastAsia="Calibri" w:hAnsi="Bookman Old Style" w:cs="Times New Roman"/>
                <w:b/>
                <w:sz w:val="20"/>
                <w:szCs w:val="20"/>
              </w:rPr>
            </w:pPr>
            <w:r>
              <w:rPr>
                <w:rFonts w:ascii="Bookman Old Style" w:eastAsia="Calibri" w:hAnsi="Bookman Old Style" w:cs="Times New Roman"/>
                <w:b/>
                <w:sz w:val="20"/>
                <w:szCs w:val="20"/>
              </w:rPr>
              <w:t>Goals</w:t>
            </w:r>
          </w:p>
          <w:p w:rsidR="002F5BC3" w:rsidRDefault="002F5BC3" w:rsidP="00E258FA">
            <w:pPr>
              <w:spacing w:line="240" w:lineRule="auto"/>
              <w:jc w:val="both"/>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For </w:t>
            </w:r>
          </w:p>
          <w:p w:rsidR="002F5BC3" w:rsidRDefault="002F5BC3" w:rsidP="00E258FA">
            <w:pPr>
              <w:spacing w:line="240" w:lineRule="auto"/>
              <w:jc w:val="both"/>
              <w:rPr>
                <w:rFonts w:ascii="Bookman Old Style" w:eastAsia="Calibri" w:hAnsi="Bookman Old Style" w:cs="Times New Roman"/>
                <w:b/>
                <w:sz w:val="20"/>
                <w:szCs w:val="20"/>
              </w:rPr>
            </w:pPr>
            <w:r>
              <w:rPr>
                <w:rFonts w:ascii="Bookman Old Style" w:eastAsia="Calibri" w:hAnsi="Bookman Old Style" w:cs="Times New Roman"/>
                <w:b/>
                <w:sz w:val="20"/>
                <w:szCs w:val="20"/>
              </w:rPr>
              <w:t>2017-2018</w:t>
            </w:r>
          </w:p>
        </w:tc>
        <w:tc>
          <w:tcPr>
            <w:tcW w:w="9810" w:type="dxa"/>
            <w:tcBorders>
              <w:top w:val="single" w:sz="4" w:space="0" w:color="auto"/>
              <w:left w:val="single" w:sz="4" w:space="0" w:color="auto"/>
              <w:bottom w:val="single" w:sz="4" w:space="0" w:color="auto"/>
              <w:right w:val="single" w:sz="4" w:space="0" w:color="auto"/>
            </w:tcBorders>
          </w:tcPr>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 xml:space="preserve">Fully engage with NNER to support engagement with our K-12 community partners and program redesign. </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Integrate carefully sequenced tasks and assessments in our current programs to ensure candidate preparation for edTPA (national scoring required beginning Fall 2018; score consequential for certification by Fall 2019).</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Redesign teacher preparation programs focusing on an integrated bachelor’s/master’s degree design.</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 xml:space="preserve">Propose a new integrated bachelor’s/master’s degree program to certify candidates in special education. </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 xml:space="preserve">Enhance recruitment and retention of teacher candidates with special focus on minority candidates and candidates in shortage areas. </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Examine our data and practices in light of standards for CAEP accreditation.</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 xml:space="preserve">Better define and more fully activate K-12 and University partnerships. </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Update the CTEC by-laws.</w:t>
            </w:r>
          </w:p>
          <w:p w:rsidR="00683EDA" w:rsidRPr="00683EDA"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Execute CTEC role in CCSU curriculum processes related to teacher education.</w:t>
            </w:r>
          </w:p>
          <w:p w:rsidR="00750342" w:rsidRDefault="00683EDA" w:rsidP="00683EDA">
            <w:pPr>
              <w:numPr>
                <w:ilvl w:val="0"/>
                <w:numId w:val="24"/>
              </w:numPr>
              <w:spacing w:line="240" w:lineRule="auto"/>
              <w:contextualSpacing/>
              <w:rPr>
                <w:rFonts w:ascii="Bookman Old Style" w:eastAsia="Calibri" w:hAnsi="Bookman Old Style" w:cs="Times New Roman"/>
                <w:sz w:val="20"/>
                <w:szCs w:val="20"/>
              </w:rPr>
            </w:pPr>
            <w:r w:rsidRPr="00683EDA">
              <w:rPr>
                <w:rFonts w:ascii="Bookman Old Style" w:eastAsia="Calibri" w:hAnsi="Bookman Old Style" w:cs="Times New Roman"/>
                <w:sz w:val="20"/>
                <w:szCs w:val="20"/>
              </w:rPr>
              <w:t>Examine ways to address student financial concerns related to Taskstream, fingerprinting, testing, etc.</w:t>
            </w:r>
          </w:p>
          <w:p w:rsidR="00683EDA" w:rsidRPr="00683EDA" w:rsidRDefault="00683EDA" w:rsidP="00683EDA">
            <w:pPr>
              <w:spacing w:line="240" w:lineRule="auto"/>
              <w:ind w:left="720"/>
              <w:contextualSpacing/>
              <w:rPr>
                <w:rFonts w:ascii="Bookman Old Style" w:eastAsia="Calibri" w:hAnsi="Bookman Old Style" w:cs="Times New Roman"/>
                <w:sz w:val="20"/>
                <w:szCs w:val="20"/>
              </w:rPr>
            </w:pPr>
          </w:p>
        </w:tc>
        <w:tc>
          <w:tcPr>
            <w:tcW w:w="273" w:type="dxa"/>
            <w:tcBorders>
              <w:top w:val="single" w:sz="4" w:space="0" w:color="auto"/>
              <w:left w:val="single" w:sz="4" w:space="0" w:color="auto"/>
              <w:bottom w:val="single" w:sz="4" w:space="0" w:color="auto"/>
              <w:right w:val="single" w:sz="4" w:space="0" w:color="auto"/>
            </w:tcBorders>
          </w:tcPr>
          <w:p w:rsidR="00E258FA" w:rsidRDefault="00E258FA" w:rsidP="005E0817">
            <w:pPr>
              <w:spacing w:line="240" w:lineRule="auto"/>
              <w:rPr>
                <w:rFonts w:ascii="Bookman Old Style" w:eastAsia="Calibri" w:hAnsi="Bookman Old Style" w:cs="Times New Roman"/>
                <w:sz w:val="16"/>
                <w:szCs w:val="16"/>
              </w:rPr>
            </w:pPr>
          </w:p>
        </w:tc>
      </w:tr>
    </w:tbl>
    <w:p w:rsidR="00F01B84" w:rsidRDefault="00F01B84" w:rsidP="00E258FA"/>
    <w:p w:rsidR="00FA218C" w:rsidRPr="002152CF" w:rsidRDefault="00FA218C" w:rsidP="002152CF">
      <w:pPr>
        <w:spacing w:after="0" w:line="276" w:lineRule="auto"/>
        <w:rPr>
          <w:rFonts w:ascii="Times New Roman" w:eastAsia="Times New Roman" w:hAnsi="Times New Roman" w:cs="Times New Roman"/>
        </w:rPr>
      </w:pPr>
    </w:p>
    <w:sectPr w:rsidR="00FA218C" w:rsidRPr="002152CF" w:rsidSect="00683EDA">
      <w:headerReference w:type="default" r:id="rId7"/>
      <w:footerReference w:type="default" r:id="rId8"/>
      <w:head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7905" w:rsidRDefault="009E7905">
      <w:pPr>
        <w:spacing w:after="0" w:line="240" w:lineRule="auto"/>
      </w:pPr>
      <w:r>
        <w:separator/>
      </w:r>
    </w:p>
  </w:endnote>
  <w:endnote w:type="continuationSeparator" w:id="0">
    <w:p w:rsidR="009E7905" w:rsidRDefault="009E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7905" w:rsidRDefault="009E7905">
      <w:pPr>
        <w:spacing w:after="0" w:line="240" w:lineRule="auto"/>
      </w:pPr>
      <w:r>
        <w:separator/>
      </w:r>
    </w:p>
  </w:footnote>
  <w:footnote w:type="continuationSeparator" w:id="0">
    <w:p w:rsidR="009E7905" w:rsidRDefault="009E7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9358409"/>
      <w:docPartObj>
        <w:docPartGallery w:val="Page Numbers (Top of Page)"/>
        <w:docPartUnique/>
      </w:docPartObj>
    </w:sdtPr>
    <w:sdtEndPr>
      <w:rPr>
        <w:noProof/>
      </w:rPr>
    </w:sdtEndPr>
    <w:sdtContent>
      <w:p w:rsidR="00102FA5" w:rsidRDefault="00102FA5">
        <w:pPr>
          <w:pStyle w:val="Header"/>
          <w:jc w:val="right"/>
        </w:pPr>
        <w:r>
          <w:fldChar w:fldCharType="begin"/>
        </w:r>
        <w:r>
          <w:instrText xml:space="preserve"> PAGE   \* MERGEFORMAT </w:instrText>
        </w:r>
        <w:r>
          <w:fldChar w:fldCharType="separate"/>
        </w:r>
        <w:r w:rsidR="007F0BDC">
          <w:rPr>
            <w:noProof/>
          </w:rPr>
          <w:t>3</w:t>
        </w:r>
        <w:r>
          <w:rPr>
            <w:noProof/>
          </w:rPr>
          <w:fldChar w:fldCharType="end"/>
        </w:r>
      </w:p>
    </w:sdtContent>
  </w:sdt>
  <w:p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FA5" w:rsidRDefault="009E7905" w:rsidP="00102FA5">
    <w:pPr>
      <w:jc w:val="center"/>
      <w:rPr>
        <w:sz w:val="28"/>
        <w:szCs w:val="28"/>
      </w:rPr>
    </w:pPr>
    <w:r>
      <w:rPr>
        <w:sz w:val="28"/>
        <w:szCs w:val="28"/>
      </w:rPr>
      <w:pict>
        <v:rect id="_x0000_i1025" style="width:0;height:1.5pt" o:hralign="center" o:hrstd="t" o:hr="t" fillcolor="#a0a0a0" stroked="f"/>
      </w:pict>
    </w:r>
  </w:p>
  <w:p w:rsidR="00102FA5" w:rsidRPr="00C03896" w:rsidRDefault="00102FA5" w:rsidP="00102FA5">
    <w:pPr>
      <w:spacing w:after="0"/>
      <w:jc w:val="center"/>
      <w:rPr>
        <w:sz w:val="28"/>
        <w:szCs w:val="28"/>
      </w:rPr>
    </w:pPr>
    <w:r w:rsidRPr="00053BEC">
      <w:rPr>
        <w:sz w:val="28"/>
        <w:szCs w:val="28"/>
      </w:rPr>
      <w:t>CENTRAL CONNECTICUT STATE UNIVERSITY</w:t>
    </w:r>
    <w:r w:rsidR="009E7905">
      <w:rPr>
        <w:sz w:val="28"/>
        <w:szCs w:val="28"/>
      </w:rPr>
      <w:pict>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15"/>
  </w:num>
  <w:num w:numId="4">
    <w:abstractNumId w:val="2"/>
  </w:num>
  <w:num w:numId="5">
    <w:abstractNumId w:val="21"/>
  </w:num>
  <w:num w:numId="6">
    <w:abstractNumId w:val="10"/>
  </w:num>
  <w:num w:numId="7">
    <w:abstractNumId w:val="1"/>
  </w:num>
  <w:num w:numId="8">
    <w:abstractNumId w:val="3"/>
  </w:num>
  <w:num w:numId="9">
    <w:abstractNumId w:val="14"/>
  </w:num>
  <w:num w:numId="10">
    <w:abstractNumId w:val="22"/>
  </w:num>
  <w:num w:numId="11">
    <w:abstractNumId w:val="12"/>
  </w:num>
  <w:num w:numId="12">
    <w:abstractNumId w:val="8"/>
  </w:num>
  <w:num w:numId="13">
    <w:abstractNumId w:val="4"/>
  </w:num>
  <w:num w:numId="14">
    <w:abstractNumId w:val="20"/>
  </w:num>
  <w:num w:numId="15">
    <w:abstractNumId w:val="18"/>
  </w:num>
  <w:num w:numId="16">
    <w:abstractNumId w:val="16"/>
  </w:num>
  <w:num w:numId="17">
    <w:abstractNumId w:val="7"/>
  </w:num>
  <w:num w:numId="18">
    <w:abstractNumId w:val="17"/>
  </w:num>
  <w:num w:numId="19">
    <w:abstractNumId w:val="6"/>
  </w:num>
  <w:num w:numId="20">
    <w:abstractNumId w:val="19"/>
  </w:num>
  <w:num w:numId="21">
    <w:abstractNumId w:val="13"/>
  </w:num>
  <w:num w:numId="22">
    <w:abstractNumId w:val="9"/>
  </w:num>
  <w:num w:numId="23">
    <w:abstractNumId w:val="11"/>
  </w:num>
  <w:num w:numId="24">
    <w:abstractNumId w:val="5"/>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2"/>
    <w:rsid w:val="000756AB"/>
    <w:rsid w:val="000A44E5"/>
    <w:rsid w:val="000B67E8"/>
    <w:rsid w:val="000E0C7D"/>
    <w:rsid w:val="00102FA5"/>
    <w:rsid w:val="0011548E"/>
    <w:rsid w:val="0015728A"/>
    <w:rsid w:val="00183159"/>
    <w:rsid w:val="001B613E"/>
    <w:rsid w:val="001B791B"/>
    <w:rsid w:val="00211956"/>
    <w:rsid w:val="00214231"/>
    <w:rsid w:val="002152CF"/>
    <w:rsid w:val="00254E97"/>
    <w:rsid w:val="00262A28"/>
    <w:rsid w:val="002D1A39"/>
    <w:rsid w:val="002D2C2F"/>
    <w:rsid w:val="002F5BC3"/>
    <w:rsid w:val="003506A5"/>
    <w:rsid w:val="00374887"/>
    <w:rsid w:val="00377741"/>
    <w:rsid w:val="003850CB"/>
    <w:rsid w:val="003945E5"/>
    <w:rsid w:val="003A540B"/>
    <w:rsid w:val="003A6327"/>
    <w:rsid w:val="003D1049"/>
    <w:rsid w:val="003F4FBF"/>
    <w:rsid w:val="00416B47"/>
    <w:rsid w:val="00425EA0"/>
    <w:rsid w:val="00433656"/>
    <w:rsid w:val="004948E7"/>
    <w:rsid w:val="004A769B"/>
    <w:rsid w:val="004C44AF"/>
    <w:rsid w:val="004D11A3"/>
    <w:rsid w:val="004F65A7"/>
    <w:rsid w:val="00500092"/>
    <w:rsid w:val="00513FB4"/>
    <w:rsid w:val="00596B1D"/>
    <w:rsid w:val="005B4550"/>
    <w:rsid w:val="005E0817"/>
    <w:rsid w:val="005E622A"/>
    <w:rsid w:val="00607855"/>
    <w:rsid w:val="006415ED"/>
    <w:rsid w:val="0065268C"/>
    <w:rsid w:val="00683EDA"/>
    <w:rsid w:val="00693171"/>
    <w:rsid w:val="006B4054"/>
    <w:rsid w:val="006C00C0"/>
    <w:rsid w:val="006C0AEC"/>
    <w:rsid w:val="006F2F12"/>
    <w:rsid w:val="006F47B0"/>
    <w:rsid w:val="006F7B14"/>
    <w:rsid w:val="00714055"/>
    <w:rsid w:val="00750342"/>
    <w:rsid w:val="00775E4E"/>
    <w:rsid w:val="007914F6"/>
    <w:rsid w:val="007C0DBB"/>
    <w:rsid w:val="007F0BDC"/>
    <w:rsid w:val="007F53B8"/>
    <w:rsid w:val="00810F3D"/>
    <w:rsid w:val="008648C2"/>
    <w:rsid w:val="00874D12"/>
    <w:rsid w:val="008D48B1"/>
    <w:rsid w:val="0091266D"/>
    <w:rsid w:val="00932EB8"/>
    <w:rsid w:val="00942BE1"/>
    <w:rsid w:val="0094713F"/>
    <w:rsid w:val="00970A26"/>
    <w:rsid w:val="00991442"/>
    <w:rsid w:val="009B26E4"/>
    <w:rsid w:val="009C440C"/>
    <w:rsid w:val="009D2755"/>
    <w:rsid w:val="009D790B"/>
    <w:rsid w:val="009E261E"/>
    <w:rsid w:val="009E44E2"/>
    <w:rsid w:val="009E7905"/>
    <w:rsid w:val="009F4BB4"/>
    <w:rsid w:val="00A07D98"/>
    <w:rsid w:val="00A17B96"/>
    <w:rsid w:val="00A74D53"/>
    <w:rsid w:val="00A90C41"/>
    <w:rsid w:val="00AA6073"/>
    <w:rsid w:val="00AC52E6"/>
    <w:rsid w:val="00B134AE"/>
    <w:rsid w:val="00B150BF"/>
    <w:rsid w:val="00B528E8"/>
    <w:rsid w:val="00B56112"/>
    <w:rsid w:val="00B90BB7"/>
    <w:rsid w:val="00BA43DE"/>
    <w:rsid w:val="00BE61C6"/>
    <w:rsid w:val="00C269D6"/>
    <w:rsid w:val="00C41149"/>
    <w:rsid w:val="00CE21B3"/>
    <w:rsid w:val="00CE6862"/>
    <w:rsid w:val="00CF0F3D"/>
    <w:rsid w:val="00D141C7"/>
    <w:rsid w:val="00D42D75"/>
    <w:rsid w:val="00D822FA"/>
    <w:rsid w:val="00DA06D6"/>
    <w:rsid w:val="00DE3708"/>
    <w:rsid w:val="00DF2F5C"/>
    <w:rsid w:val="00E14388"/>
    <w:rsid w:val="00E258FA"/>
    <w:rsid w:val="00E3123B"/>
    <w:rsid w:val="00E61302"/>
    <w:rsid w:val="00EB34A6"/>
    <w:rsid w:val="00EC69C8"/>
    <w:rsid w:val="00ED56B3"/>
    <w:rsid w:val="00EF4130"/>
    <w:rsid w:val="00F01B84"/>
    <w:rsid w:val="00F22348"/>
    <w:rsid w:val="00F25CBA"/>
    <w:rsid w:val="00F36351"/>
    <w:rsid w:val="00F42655"/>
    <w:rsid w:val="00F42E88"/>
    <w:rsid w:val="00F66DCC"/>
    <w:rsid w:val="00F7720A"/>
    <w:rsid w:val="00F95A12"/>
    <w:rsid w:val="00F96923"/>
    <w:rsid w:val="00F97CDC"/>
    <w:rsid w:val="00FA218C"/>
    <w:rsid w:val="00FE089A"/>
    <w:rsid w:val="00FE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2B69E"/>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Hoffman, Nancy (Ed Lead Policy Inst Tech)</cp:lastModifiedBy>
  <cp:revision>2</cp:revision>
  <cp:lastPrinted>2017-04-03T16:58:00Z</cp:lastPrinted>
  <dcterms:created xsi:type="dcterms:W3CDTF">2017-11-16T14:24:00Z</dcterms:created>
  <dcterms:modified xsi:type="dcterms:W3CDTF">2017-11-16T14:24:00Z</dcterms:modified>
</cp:coreProperties>
</file>