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FE7" w:rsidRDefault="00653FE7" w:rsidP="00025301">
      <w:pPr>
        <w:spacing w:after="0" w:line="276" w:lineRule="auto"/>
        <w:jc w:val="center"/>
        <w:rPr>
          <w:rFonts w:ascii="Bookman Old Style" w:eastAsia="Calibri" w:hAnsi="Bookman Old Style" w:cs="Times New Roman"/>
          <w:b/>
          <w:sz w:val="20"/>
          <w:szCs w:val="20"/>
        </w:rPr>
      </w:pPr>
      <w:r>
        <w:rPr>
          <w:rFonts w:ascii="Bookman Old Style" w:eastAsia="Calibri" w:hAnsi="Bookman Old Style" w:cs="Times New Roman"/>
          <w:b/>
          <w:sz w:val="20"/>
          <w:szCs w:val="20"/>
        </w:rPr>
        <w:t>School of Education and Professional Studies</w:t>
      </w:r>
    </w:p>
    <w:p w:rsidR="005A17C3" w:rsidRPr="00EB3CC1" w:rsidRDefault="005A17C3" w:rsidP="00025301">
      <w:pPr>
        <w:spacing w:after="0" w:line="276" w:lineRule="auto"/>
        <w:jc w:val="center"/>
        <w:rPr>
          <w:rFonts w:ascii="Bookman Old Style" w:eastAsia="Calibri" w:hAnsi="Bookman Old Style" w:cs="Times New Roman"/>
          <w:b/>
          <w:sz w:val="20"/>
          <w:szCs w:val="20"/>
        </w:rPr>
      </w:pPr>
      <w:r w:rsidRPr="00EB3CC1">
        <w:rPr>
          <w:rFonts w:ascii="Bookman Old Style" w:eastAsia="Calibri" w:hAnsi="Bookman Old Style" w:cs="Times New Roman"/>
          <w:b/>
          <w:sz w:val="20"/>
          <w:szCs w:val="20"/>
        </w:rPr>
        <w:t>Central Teacher Education Committee (CTEC)</w:t>
      </w:r>
      <w:r w:rsidR="00A26EB3">
        <w:rPr>
          <w:rFonts w:ascii="Bookman Old Style" w:eastAsia="Calibri" w:hAnsi="Bookman Old Style" w:cs="Times New Roman"/>
          <w:b/>
          <w:sz w:val="20"/>
          <w:szCs w:val="20"/>
        </w:rPr>
        <w:t xml:space="preserve"> Minutes </w:t>
      </w:r>
      <w:bookmarkStart w:id="0" w:name="_GoBack"/>
      <w:bookmarkEnd w:id="0"/>
    </w:p>
    <w:p w:rsidR="005A17C3" w:rsidRPr="00EB3CC1" w:rsidRDefault="00AE721B" w:rsidP="00025301">
      <w:pPr>
        <w:spacing w:after="0" w:line="276" w:lineRule="auto"/>
        <w:jc w:val="center"/>
        <w:rPr>
          <w:rFonts w:ascii="Bookman Old Style" w:eastAsia="Calibri" w:hAnsi="Bookman Old Style" w:cs="Times New Roman"/>
          <w:b/>
          <w:sz w:val="20"/>
          <w:szCs w:val="20"/>
        </w:rPr>
      </w:pPr>
      <w:r>
        <w:rPr>
          <w:rFonts w:ascii="Bookman Old Style" w:eastAsia="Calibri" w:hAnsi="Bookman Old Style" w:cs="Times New Roman"/>
          <w:b/>
          <w:sz w:val="20"/>
          <w:szCs w:val="20"/>
        </w:rPr>
        <w:t xml:space="preserve">October </w:t>
      </w:r>
      <w:r w:rsidR="00A26EB3">
        <w:rPr>
          <w:rFonts w:ascii="Bookman Old Style" w:eastAsia="Calibri" w:hAnsi="Bookman Old Style" w:cs="Times New Roman"/>
          <w:b/>
          <w:sz w:val="20"/>
          <w:szCs w:val="20"/>
        </w:rPr>
        <w:t>13</w:t>
      </w:r>
      <w:r w:rsidR="005A17C3" w:rsidRPr="00EB3CC1">
        <w:rPr>
          <w:rFonts w:ascii="Bookman Old Style" w:eastAsia="Calibri" w:hAnsi="Bookman Old Style" w:cs="Times New Roman"/>
          <w:b/>
          <w:sz w:val="20"/>
          <w:szCs w:val="20"/>
        </w:rPr>
        <w:t xml:space="preserve">, </w:t>
      </w:r>
      <w:r w:rsidR="005A17C3">
        <w:rPr>
          <w:rFonts w:ascii="Bookman Old Style" w:eastAsia="Calibri" w:hAnsi="Bookman Old Style" w:cs="Times New Roman"/>
          <w:b/>
          <w:sz w:val="20"/>
          <w:szCs w:val="20"/>
        </w:rPr>
        <w:t xml:space="preserve">2016, </w:t>
      </w:r>
      <w:r w:rsidR="005A17C3" w:rsidRPr="00EB3CC1">
        <w:rPr>
          <w:rFonts w:ascii="Bookman Old Style" w:eastAsia="Calibri" w:hAnsi="Bookman Old Style" w:cs="Times New Roman"/>
          <w:b/>
          <w:sz w:val="20"/>
          <w:szCs w:val="20"/>
        </w:rPr>
        <w:t>3:</w:t>
      </w:r>
      <w:r w:rsidR="005A17C3">
        <w:rPr>
          <w:rFonts w:ascii="Bookman Old Style" w:eastAsia="Calibri" w:hAnsi="Bookman Old Style" w:cs="Times New Roman"/>
          <w:b/>
          <w:sz w:val="20"/>
          <w:szCs w:val="20"/>
        </w:rPr>
        <w:t>15</w:t>
      </w:r>
      <w:r w:rsidR="005A17C3" w:rsidRPr="00EB3CC1">
        <w:rPr>
          <w:rFonts w:ascii="Bookman Old Style" w:eastAsia="Calibri" w:hAnsi="Bookman Old Style" w:cs="Times New Roman"/>
          <w:b/>
          <w:sz w:val="20"/>
          <w:szCs w:val="20"/>
        </w:rPr>
        <w:t xml:space="preserve"> – 5:00</w:t>
      </w:r>
      <w:r w:rsidR="001E331A">
        <w:rPr>
          <w:rFonts w:ascii="Bookman Old Style" w:eastAsia="Calibri" w:hAnsi="Bookman Old Style" w:cs="Times New Roman"/>
          <w:b/>
          <w:sz w:val="20"/>
          <w:szCs w:val="20"/>
        </w:rPr>
        <w:t>, 18</w:t>
      </w:r>
      <w:r>
        <w:rPr>
          <w:rFonts w:ascii="Bookman Old Style" w:eastAsia="Calibri" w:hAnsi="Bookman Old Style" w:cs="Times New Roman"/>
          <w:b/>
          <w:sz w:val="20"/>
          <w:szCs w:val="20"/>
        </w:rPr>
        <w:t>4</w:t>
      </w:r>
      <w:r w:rsidR="001E331A">
        <w:rPr>
          <w:rFonts w:ascii="Bookman Old Style" w:eastAsia="Calibri" w:hAnsi="Bookman Old Style" w:cs="Times New Roman"/>
          <w:b/>
          <w:sz w:val="20"/>
          <w:szCs w:val="20"/>
        </w:rPr>
        <w:t>9 Room (second floor)</w:t>
      </w:r>
      <w:r w:rsidR="005A17C3">
        <w:rPr>
          <w:rFonts w:ascii="Bookman Old Style" w:eastAsia="Calibri" w:hAnsi="Bookman Old Style" w:cs="Times New Roman"/>
          <w:b/>
          <w:sz w:val="20"/>
          <w:szCs w:val="20"/>
        </w:rPr>
        <w:t>, Student Center</w:t>
      </w:r>
    </w:p>
    <w:tbl>
      <w:tblPr>
        <w:tblStyle w:val="TableGrid1"/>
        <w:tblW w:w="10890" w:type="dxa"/>
        <w:tblInd w:w="-185" w:type="dxa"/>
        <w:tblLayout w:type="fixed"/>
        <w:tblLook w:val="04A0" w:firstRow="1" w:lastRow="0" w:firstColumn="1" w:lastColumn="0" w:noHBand="0" w:noVBand="1"/>
      </w:tblPr>
      <w:tblGrid>
        <w:gridCol w:w="630"/>
        <w:gridCol w:w="9990"/>
        <w:gridCol w:w="270"/>
      </w:tblGrid>
      <w:tr w:rsidR="005A17C3" w:rsidRPr="00EB3CC1" w:rsidTr="007A40B4">
        <w:tc>
          <w:tcPr>
            <w:tcW w:w="10890" w:type="dxa"/>
            <w:gridSpan w:val="3"/>
          </w:tcPr>
          <w:p w:rsidR="005A17C3" w:rsidRPr="00EB3CC1" w:rsidRDefault="005A17C3" w:rsidP="007A40B4">
            <w:pPr>
              <w:jc w:val="center"/>
              <w:rPr>
                <w:rFonts w:ascii="Bookman Old Style" w:eastAsia="Calibri" w:hAnsi="Bookman Old Style" w:cs="Times New Roman"/>
                <w:b/>
                <w:sz w:val="20"/>
                <w:szCs w:val="20"/>
              </w:rPr>
            </w:pPr>
          </w:p>
        </w:tc>
      </w:tr>
      <w:tr w:rsidR="005A17C3" w:rsidRPr="00EB3CC1" w:rsidTr="00E12FC0">
        <w:tc>
          <w:tcPr>
            <w:tcW w:w="630" w:type="dxa"/>
          </w:tcPr>
          <w:p w:rsidR="005A17C3" w:rsidRPr="00EB3CC1" w:rsidRDefault="005A17C3" w:rsidP="007A40B4">
            <w:pPr>
              <w:jc w:val="both"/>
              <w:rPr>
                <w:rFonts w:ascii="Bookman Old Style" w:eastAsia="Calibri" w:hAnsi="Bookman Old Style" w:cs="Times New Roman"/>
                <w:b/>
                <w:sz w:val="20"/>
                <w:szCs w:val="20"/>
              </w:rPr>
            </w:pPr>
          </w:p>
        </w:tc>
        <w:tc>
          <w:tcPr>
            <w:tcW w:w="9990" w:type="dxa"/>
          </w:tcPr>
          <w:p w:rsidR="00653FE7" w:rsidRPr="00EB3CC1" w:rsidRDefault="00653FE7" w:rsidP="007A40B4">
            <w:pPr>
              <w:jc w:val="both"/>
              <w:rPr>
                <w:rFonts w:ascii="Bookman Old Style" w:eastAsia="Calibri" w:hAnsi="Bookman Old Style" w:cs="Times New Roman"/>
                <w:b/>
                <w:sz w:val="20"/>
                <w:szCs w:val="20"/>
              </w:rPr>
            </w:pPr>
          </w:p>
        </w:tc>
        <w:tc>
          <w:tcPr>
            <w:tcW w:w="270" w:type="dxa"/>
          </w:tcPr>
          <w:p w:rsidR="005A17C3" w:rsidRPr="00EB3CC1" w:rsidRDefault="005A17C3" w:rsidP="007A40B4">
            <w:pPr>
              <w:jc w:val="both"/>
              <w:rPr>
                <w:rFonts w:ascii="Bookman Old Style" w:eastAsia="Calibri" w:hAnsi="Bookman Old Style" w:cs="Times New Roman"/>
                <w:b/>
                <w:sz w:val="20"/>
                <w:szCs w:val="20"/>
              </w:rPr>
            </w:pPr>
          </w:p>
        </w:tc>
      </w:tr>
      <w:tr w:rsidR="005A17C3" w:rsidRPr="00EB3CC1" w:rsidTr="00E12FC0">
        <w:tc>
          <w:tcPr>
            <w:tcW w:w="630" w:type="dxa"/>
          </w:tcPr>
          <w:p w:rsidR="005A17C3" w:rsidRPr="00EB3CC1" w:rsidRDefault="005A17C3" w:rsidP="007A40B4">
            <w:pPr>
              <w:jc w:val="both"/>
              <w:rPr>
                <w:rFonts w:ascii="Bookman Old Style" w:eastAsia="Calibri" w:hAnsi="Bookman Old Style" w:cs="Times New Roman"/>
                <w:sz w:val="20"/>
                <w:szCs w:val="20"/>
              </w:rPr>
            </w:pPr>
          </w:p>
        </w:tc>
        <w:tc>
          <w:tcPr>
            <w:tcW w:w="9990" w:type="dxa"/>
          </w:tcPr>
          <w:p w:rsidR="005A17C3" w:rsidRPr="003A6521" w:rsidRDefault="00653FE7" w:rsidP="007A40B4">
            <w:pPr>
              <w:tabs>
                <w:tab w:val="left" w:pos="2230"/>
              </w:tabs>
              <w:rPr>
                <w:rFonts w:ascii="Bookman Old Style" w:eastAsia="Calibri" w:hAnsi="Bookman Old Style" w:cs="Times New Roman"/>
                <w:sz w:val="20"/>
                <w:szCs w:val="20"/>
              </w:rPr>
            </w:pPr>
            <w:r>
              <w:rPr>
                <w:rFonts w:ascii="Bookman Old Style" w:eastAsia="Calibri" w:hAnsi="Bookman Old Style" w:cs="Times New Roman"/>
                <w:b/>
                <w:sz w:val="20"/>
                <w:szCs w:val="20"/>
              </w:rPr>
              <w:t xml:space="preserve">In attendance:  </w:t>
            </w:r>
            <w:r w:rsidR="003A6521" w:rsidRPr="003A6521">
              <w:rPr>
                <w:rFonts w:ascii="Bookman Old Style" w:eastAsia="Calibri" w:hAnsi="Bookman Old Style" w:cs="Times New Roman"/>
                <w:sz w:val="20"/>
                <w:szCs w:val="20"/>
              </w:rPr>
              <w:t xml:space="preserve">N. Hoffman; M. Horton; M. Alfano; L. Tafrate; B. Clark; M. Nunn; C. Ciotto; M. Bednarski; S. Ostrowski; J. </w:t>
            </w:r>
            <w:proofErr w:type="spellStart"/>
            <w:r w:rsidR="003A6521" w:rsidRPr="003A6521">
              <w:rPr>
                <w:rFonts w:ascii="Bookman Old Style" w:eastAsia="Calibri" w:hAnsi="Bookman Old Style" w:cs="Times New Roman"/>
                <w:sz w:val="20"/>
                <w:szCs w:val="20"/>
              </w:rPr>
              <w:t>DeLaura</w:t>
            </w:r>
            <w:proofErr w:type="spellEnd"/>
            <w:r w:rsidR="003A6521" w:rsidRPr="003A6521">
              <w:rPr>
                <w:rFonts w:ascii="Bookman Old Style" w:eastAsia="Calibri" w:hAnsi="Bookman Old Style" w:cs="Times New Roman"/>
                <w:sz w:val="20"/>
                <w:szCs w:val="20"/>
              </w:rPr>
              <w:t xml:space="preserve">; K. Mulcahy; </w:t>
            </w:r>
            <w:r w:rsidR="00E44D77">
              <w:rPr>
                <w:rFonts w:ascii="Bookman Old Style" w:eastAsia="Calibri" w:hAnsi="Bookman Old Style" w:cs="Times New Roman"/>
                <w:sz w:val="20"/>
                <w:szCs w:val="20"/>
              </w:rPr>
              <w:t xml:space="preserve">J. </w:t>
            </w:r>
            <w:proofErr w:type="spellStart"/>
            <w:r w:rsidR="00E44D77">
              <w:rPr>
                <w:rFonts w:ascii="Bookman Old Style" w:eastAsia="Calibri" w:hAnsi="Bookman Old Style" w:cs="Times New Roman"/>
                <w:sz w:val="20"/>
                <w:szCs w:val="20"/>
              </w:rPr>
              <w:t>Niocol-Senft</w:t>
            </w:r>
            <w:proofErr w:type="spellEnd"/>
            <w:r w:rsidR="00E44D77">
              <w:rPr>
                <w:rFonts w:ascii="Bookman Old Style" w:eastAsia="Calibri" w:hAnsi="Bookman Old Style" w:cs="Times New Roman"/>
                <w:sz w:val="20"/>
                <w:szCs w:val="20"/>
              </w:rPr>
              <w:t xml:space="preserve">; S. Drew; </w:t>
            </w:r>
            <w:r w:rsidR="003A6521" w:rsidRPr="003A6521">
              <w:rPr>
                <w:rFonts w:ascii="Bookman Old Style" w:eastAsia="Calibri" w:hAnsi="Bookman Old Style" w:cs="Times New Roman"/>
                <w:sz w:val="20"/>
                <w:szCs w:val="20"/>
              </w:rPr>
              <w:t>M. Mitchell; K. McGrath</w:t>
            </w:r>
            <w:r w:rsidR="00787723">
              <w:rPr>
                <w:rFonts w:ascii="Bookman Old Style" w:eastAsia="Calibri" w:hAnsi="Bookman Old Style" w:cs="Times New Roman"/>
                <w:sz w:val="20"/>
                <w:szCs w:val="20"/>
              </w:rPr>
              <w:t>; M. Ciscel</w:t>
            </w:r>
            <w:r w:rsidR="00E44D77">
              <w:rPr>
                <w:rFonts w:ascii="Bookman Old Style" w:eastAsia="Calibri" w:hAnsi="Bookman Old Style" w:cs="Times New Roman"/>
                <w:sz w:val="20"/>
                <w:szCs w:val="20"/>
              </w:rPr>
              <w:t xml:space="preserve">; T. Putnam; P. Talty </w:t>
            </w:r>
          </w:p>
          <w:p w:rsidR="005A17C3" w:rsidRDefault="00E44D77" w:rsidP="007A40B4">
            <w:pPr>
              <w:tabs>
                <w:tab w:val="left" w:pos="2230"/>
              </w:tabs>
              <w:rPr>
                <w:rFonts w:ascii="Bookman Old Style" w:eastAsia="Calibri" w:hAnsi="Bookman Old Style" w:cs="Times New Roman"/>
                <w:b/>
                <w:sz w:val="20"/>
                <w:szCs w:val="20"/>
              </w:rPr>
            </w:pPr>
            <w:r>
              <w:rPr>
                <w:rFonts w:ascii="Bookman Old Style" w:eastAsia="Calibri" w:hAnsi="Bookman Old Style" w:cs="Times New Roman"/>
                <w:b/>
                <w:sz w:val="20"/>
                <w:szCs w:val="20"/>
              </w:rPr>
              <w:t xml:space="preserve">Guests: </w:t>
            </w:r>
            <w:r w:rsidRPr="003A6521">
              <w:rPr>
                <w:rFonts w:ascii="Bookman Old Style" w:eastAsia="Calibri" w:hAnsi="Bookman Old Style" w:cs="Times New Roman"/>
                <w:sz w:val="20"/>
                <w:szCs w:val="20"/>
              </w:rPr>
              <w:t>M. Bigley</w:t>
            </w:r>
          </w:p>
          <w:p w:rsidR="0058304D" w:rsidRDefault="0058304D" w:rsidP="007A40B4">
            <w:pPr>
              <w:tabs>
                <w:tab w:val="left" w:pos="2230"/>
              </w:tabs>
              <w:rPr>
                <w:rFonts w:ascii="Bookman Old Style" w:eastAsia="Calibri" w:hAnsi="Bookman Old Style" w:cs="Times New Roman"/>
                <w:b/>
                <w:sz w:val="20"/>
                <w:szCs w:val="20"/>
              </w:rPr>
            </w:pPr>
          </w:p>
          <w:p w:rsidR="0058304D" w:rsidRPr="00EB3CC1" w:rsidRDefault="0058304D" w:rsidP="007A40B4">
            <w:pPr>
              <w:tabs>
                <w:tab w:val="left" w:pos="2230"/>
              </w:tabs>
              <w:rPr>
                <w:rFonts w:ascii="Bookman Old Style" w:eastAsia="Calibri" w:hAnsi="Bookman Old Style" w:cs="Times New Roman"/>
                <w:b/>
                <w:sz w:val="20"/>
                <w:szCs w:val="20"/>
              </w:rPr>
            </w:pPr>
          </w:p>
        </w:tc>
        <w:tc>
          <w:tcPr>
            <w:tcW w:w="270" w:type="dxa"/>
          </w:tcPr>
          <w:p w:rsidR="005A17C3" w:rsidRPr="00EB3CC1" w:rsidRDefault="005A17C3" w:rsidP="007A40B4">
            <w:pPr>
              <w:rPr>
                <w:rFonts w:ascii="Bookman Old Style" w:eastAsia="Calibri" w:hAnsi="Bookman Old Style" w:cs="Times New Roman"/>
                <w:sz w:val="20"/>
                <w:szCs w:val="20"/>
              </w:rPr>
            </w:pPr>
          </w:p>
        </w:tc>
      </w:tr>
      <w:tr w:rsidR="005A17C3" w:rsidRPr="00A37DFA" w:rsidTr="00E12FC0">
        <w:trPr>
          <w:trHeight w:val="1448"/>
        </w:trPr>
        <w:tc>
          <w:tcPr>
            <w:tcW w:w="630" w:type="dxa"/>
          </w:tcPr>
          <w:p w:rsidR="005A17C3" w:rsidRDefault="00E12FC0" w:rsidP="00C436B9">
            <w:pPr>
              <w:jc w:val="both"/>
              <w:rPr>
                <w:rFonts w:ascii="Bookman Old Style" w:eastAsia="Calibri" w:hAnsi="Bookman Old Style" w:cs="Times New Roman"/>
                <w:sz w:val="20"/>
                <w:szCs w:val="20"/>
              </w:rPr>
            </w:pPr>
            <w:r>
              <w:rPr>
                <w:rFonts w:ascii="Bookman Old Style" w:eastAsia="Calibri" w:hAnsi="Bookman Old Style" w:cs="Times New Roman"/>
                <w:sz w:val="20"/>
                <w:szCs w:val="20"/>
              </w:rPr>
              <w:t>I.</w:t>
            </w: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E12FC0" w:rsidRDefault="00E12FC0" w:rsidP="00C436B9">
            <w:pPr>
              <w:jc w:val="both"/>
              <w:rPr>
                <w:rFonts w:ascii="Bookman Old Style" w:eastAsia="Calibri" w:hAnsi="Bookman Old Style" w:cs="Times New Roman"/>
                <w:sz w:val="20"/>
                <w:szCs w:val="20"/>
              </w:rPr>
            </w:pPr>
            <w:r>
              <w:rPr>
                <w:rFonts w:ascii="Bookman Old Style" w:eastAsia="Calibri" w:hAnsi="Bookman Old Style" w:cs="Times New Roman"/>
                <w:sz w:val="20"/>
                <w:szCs w:val="20"/>
              </w:rPr>
              <w:t>II.</w:t>
            </w: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E12FC0" w:rsidRDefault="00E12FC0" w:rsidP="00C436B9">
            <w:pPr>
              <w:jc w:val="both"/>
              <w:rPr>
                <w:rFonts w:ascii="Bookman Old Style" w:eastAsia="Calibri" w:hAnsi="Bookman Old Style" w:cs="Times New Roman"/>
                <w:sz w:val="20"/>
                <w:szCs w:val="20"/>
              </w:rPr>
            </w:pPr>
          </w:p>
          <w:p w:rsidR="00E12FC0" w:rsidRPr="00EB3CC1" w:rsidRDefault="00E12FC0" w:rsidP="00C436B9">
            <w:pPr>
              <w:jc w:val="both"/>
              <w:rPr>
                <w:rFonts w:ascii="Bookman Old Style" w:eastAsia="Calibri" w:hAnsi="Bookman Old Style" w:cs="Times New Roman"/>
                <w:sz w:val="20"/>
                <w:szCs w:val="20"/>
              </w:rPr>
            </w:pPr>
            <w:r>
              <w:rPr>
                <w:rFonts w:ascii="Bookman Old Style" w:eastAsia="Calibri" w:hAnsi="Bookman Old Style" w:cs="Times New Roman"/>
                <w:sz w:val="20"/>
                <w:szCs w:val="20"/>
              </w:rPr>
              <w:t>III.</w:t>
            </w:r>
          </w:p>
        </w:tc>
        <w:tc>
          <w:tcPr>
            <w:tcW w:w="9990" w:type="dxa"/>
          </w:tcPr>
          <w:p w:rsidR="008616D7" w:rsidRPr="003A6521" w:rsidRDefault="008616D7" w:rsidP="007A40B4">
            <w:pPr>
              <w:tabs>
                <w:tab w:val="left" w:pos="2230"/>
              </w:tabs>
              <w:rPr>
                <w:rFonts w:ascii="Bookman Old Style" w:eastAsia="Calibri" w:hAnsi="Bookman Old Style" w:cs="Times New Roman"/>
                <w:sz w:val="20"/>
                <w:szCs w:val="20"/>
              </w:rPr>
            </w:pPr>
            <w:r>
              <w:rPr>
                <w:rFonts w:ascii="Bookman Old Style" w:eastAsia="Calibri" w:hAnsi="Bookman Old Style" w:cs="Times New Roman"/>
                <w:b/>
                <w:sz w:val="20"/>
                <w:szCs w:val="20"/>
              </w:rPr>
              <w:t>Welcome to our K-12 partners</w:t>
            </w:r>
            <w:r w:rsidR="003A6521">
              <w:rPr>
                <w:rFonts w:ascii="Bookman Old Style" w:eastAsia="Calibri" w:hAnsi="Bookman Old Style" w:cs="Times New Roman"/>
                <w:b/>
                <w:sz w:val="20"/>
                <w:szCs w:val="20"/>
              </w:rPr>
              <w:t xml:space="preserve">:  </w:t>
            </w:r>
            <w:r w:rsidR="003A6521" w:rsidRPr="003A6521">
              <w:rPr>
                <w:rFonts w:ascii="Bookman Old Style" w:eastAsia="Calibri" w:hAnsi="Bookman Old Style" w:cs="Times New Roman"/>
                <w:sz w:val="20"/>
                <w:szCs w:val="20"/>
              </w:rPr>
              <w:t xml:space="preserve">Paula Talty </w:t>
            </w:r>
            <w:r w:rsidR="005569D7">
              <w:rPr>
                <w:rFonts w:ascii="Bookman Old Style" w:eastAsia="Calibri" w:hAnsi="Bookman Old Style" w:cs="Times New Roman"/>
                <w:sz w:val="20"/>
                <w:szCs w:val="20"/>
              </w:rPr>
              <w:t xml:space="preserve">(Superintendent, </w:t>
            </w:r>
            <w:r w:rsidR="003A6521" w:rsidRPr="003A6521">
              <w:rPr>
                <w:rFonts w:ascii="Bookman Old Style" w:eastAsia="Calibri" w:hAnsi="Bookman Old Style" w:cs="Times New Roman"/>
                <w:sz w:val="20"/>
                <w:szCs w:val="20"/>
              </w:rPr>
              <w:t>Cromwell</w:t>
            </w:r>
            <w:r w:rsidR="005569D7">
              <w:rPr>
                <w:rFonts w:ascii="Bookman Old Style" w:eastAsia="Calibri" w:hAnsi="Bookman Old Style" w:cs="Times New Roman"/>
                <w:sz w:val="20"/>
                <w:szCs w:val="20"/>
              </w:rPr>
              <w:t xml:space="preserve"> Public Schools</w:t>
            </w:r>
            <w:r w:rsidR="003A6521" w:rsidRPr="003A6521">
              <w:rPr>
                <w:rFonts w:ascii="Bookman Old Style" w:eastAsia="Calibri" w:hAnsi="Bookman Old Style" w:cs="Times New Roman"/>
                <w:sz w:val="20"/>
                <w:szCs w:val="20"/>
              </w:rPr>
              <w:t>); Trisha Putnam (</w:t>
            </w:r>
            <w:r w:rsidR="005569D7">
              <w:rPr>
                <w:rFonts w:ascii="Bookman Old Style" w:eastAsia="Calibri" w:hAnsi="Bookman Old Style" w:cs="Times New Roman"/>
                <w:sz w:val="20"/>
                <w:szCs w:val="20"/>
              </w:rPr>
              <w:t>Coordinator of Leadership Development &amp; Higher</w:t>
            </w:r>
            <w:r w:rsidR="00E44D77">
              <w:rPr>
                <w:rFonts w:ascii="Bookman Old Style" w:eastAsia="Calibri" w:hAnsi="Bookman Old Style" w:cs="Times New Roman"/>
                <w:sz w:val="20"/>
                <w:szCs w:val="20"/>
              </w:rPr>
              <w:t xml:space="preserve"> Education Partnerships, Consoli</w:t>
            </w:r>
            <w:r w:rsidR="005569D7">
              <w:rPr>
                <w:rFonts w:ascii="Bookman Old Style" w:eastAsia="Calibri" w:hAnsi="Bookman Old Style" w:cs="Times New Roman"/>
                <w:sz w:val="20"/>
                <w:szCs w:val="20"/>
              </w:rPr>
              <w:t>dated School District of New Britain</w:t>
            </w:r>
            <w:r w:rsidR="003A6521" w:rsidRPr="003A6521">
              <w:rPr>
                <w:rFonts w:ascii="Bookman Old Style" w:eastAsia="Calibri" w:hAnsi="Bookman Old Style" w:cs="Times New Roman"/>
                <w:sz w:val="20"/>
                <w:szCs w:val="20"/>
              </w:rPr>
              <w:t>)</w:t>
            </w:r>
          </w:p>
          <w:p w:rsidR="00D8510F" w:rsidRDefault="00D8510F" w:rsidP="007A40B4">
            <w:pPr>
              <w:tabs>
                <w:tab w:val="left" w:pos="2230"/>
              </w:tabs>
              <w:rPr>
                <w:rFonts w:ascii="Bookman Old Style" w:eastAsia="Calibri" w:hAnsi="Bookman Old Style" w:cs="Times New Roman"/>
                <w:b/>
                <w:sz w:val="20"/>
                <w:szCs w:val="20"/>
              </w:rPr>
            </w:pPr>
          </w:p>
          <w:p w:rsidR="00D8510F" w:rsidRDefault="00D8510F" w:rsidP="007A40B4">
            <w:pPr>
              <w:tabs>
                <w:tab w:val="left" w:pos="2230"/>
              </w:tabs>
              <w:rPr>
                <w:rFonts w:ascii="Bookman Old Style" w:eastAsia="Calibri" w:hAnsi="Bookman Old Style" w:cs="Times New Roman"/>
                <w:b/>
                <w:sz w:val="20"/>
                <w:szCs w:val="20"/>
              </w:rPr>
            </w:pPr>
          </w:p>
          <w:p w:rsidR="00C5020A" w:rsidRDefault="00AE721B" w:rsidP="007A40B4">
            <w:pPr>
              <w:tabs>
                <w:tab w:val="left" w:pos="2230"/>
              </w:tabs>
              <w:rPr>
                <w:rFonts w:ascii="Bookman Old Style" w:eastAsia="Calibri" w:hAnsi="Bookman Old Style" w:cs="Times New Roman"/>
                <w:sz w:val="20"/>
                <w:szCs w:val="20"/>
              </w:rPr>
            </w:pPr>
            <w:r>
              <w:rPr>
                <w:rFonts w:ascii="Bookman Old Style" w:eastAsia="Calibri" w:hAnsi="Bookman Old Style" w:cs="Times New Roman"/>
                <w:b/>
                <w:sz w:val="20"/>
                <w:szCs w:val="20"/>
              </w:rPr>
              <w:t xml:space="preserve">Dyslexia module update </w:t>
            </w:r>
            <w:r w:rsidR="008616D7" w:rsidRPr="008616D7">
              <w:rPr>
                <w:rFonts w:ascii="Bookman Old Style" w:eastAsia="Calibri" w:hAnsi="Bookman Old Style" w:cs="Times New Roman"/>
                <w:b/>
                <w:sz w:val="20"/>
                <w:szCs w:val="20"/>
              </w:rPr>
              <w:t xml:space="preserve">--- </w:t>
            </w:r>
            <w:r w:rsidR="008616D7" w:rsidRPr="008616D7">
              <w:rPr>
                <w:rFonts w:ascii="Bookman Old Style" w:eastAsia="Calibri" w:hAnsi="Bookman Old Style" w:cs="Times New Roman"/>
                <w:sz w:val="20"/>
                <w:szCs w:val="20"/>
              </w:rPr>
              <w:t>Joan N</w:t>
            </w:r>
            <w:r w:rsidR="000E3BE7">
              <w:rPr>
                <w:rFonts w:ascii="Bookman Old Style" w:eastAsia="Calibri" w:hAnsi="Bookman Old Style" w:cs="Times New Roman"/>
                <w:sz w:val="20"/>
                <w:szCs w:val="20"/>
              </w:rPr>
              <w:t>icol-</w:t>
            </w:r>
            <w:proofErr w:type="spellStart"/>
            <w:r w:rsidR="008616D7" w:rsidRPr="008616D7">
              <w:rPr>
                <w:rFonts w:ascii="Bookman Old Style" w:eastAsia="Calibri" w:hAnsi="Bookman Old Style" w:cs="Times New Roman"/>
                <w:sz w:val="20"/>
                <w:szCs w:val="20"/>
              </w:rPr>
              <w:t>Senft</w:t>
            </w:r>
            <w:proofErr w:type="spellEnd"/>
          </w:p>
          <w:p w:rsidR="00D8510F" w:rsidRDefault="003A6521" w:rsidP="007A40B4">
            <w:pPr>
              <w:tabs>
                <w:tab w:val="left" w:pos="2230"/>
              </w:tabs>
              <w:rPr>
                <w:rFonts w:ascii="Bookman Old Style" w:eastAsia="Calibri" w:hAnsi="Bookman Old Style" w:cs="Times New Roman"/>
                <w:sz w:val="20"/>
                <w:szCs w:val="20"/>
              </w:rPr>
            </w:pPr>
            <w:r>
              <w:rPr>
                <w:rFonts w:ascii="Bookman Old Style" w:eastAsia="Calibri" w:hAnsi="Bookman Old Style" w:cs="Times New Roman"/>
                <w:sz w:val="20"/>
                <w:szCs w:val="20"/>
              </w:rPr>
              <w:t xml:space="preserve">This </w:t>
            </w:r>
            <w:r w:rsidR="00BA4637">
              <w:rPr>
                <w:rFonts w:ascii="Bookman Old Style" w:eastAsia="Calibri" w:hAnsi="Bookman Old Style" w:cs="Times New Roman"/>
                <w:sz w:val="20"/>
                <w:szCs w:val="20"/>
              </w:rPr>
              <w:t>comprehensive and stand-alone m</w:t>
            </w:r>
            <w:r>
              <w:rPr>
                <w:rFonts w:ascii="Bookman Old Style" w:eastAsia="Calibri" w:hAnsi="Bookman Old Style" w:cs="Times New Roman"/>
                <w:sz w:val="20"/>
                <w:szCs w:val="20"/>
              </w:rPr>
              <w:t xml:space="preserve">odule has </w:t>
            </w:r>
            <w:r w:rsidR="00BA4637">
              <w:rPr>
                <w:rFonts w:ascii="Bookman Old Style" w:eastAsia="Calibri" w:hAnsi="Bookman Old Style" w:cs="Times New Roman"/>
                <w:sz w:val="20"/>
                <w:szCs w:val="20"/>
              </w:rPr>
              <w:t xml:space="preserve">been vetted and meets the state mandate for dyslexia education.  A link to the module will be sent </w:t>
            </w:r>
            <w:r w:rsidR="00E44D77">
              <w:rPr>
                <w:rFonts w:ascii="Bookman Old Style" w:eastAsia="Calibri" w:hAnsi="Bookman Old Style" w:cs="Times New Roman"/>
                <w:sz w:val="20"/>
                <w:szCs w:val="20"/>
              </w:rPr>
              <w:t xml:space="preserve">to program coordinators </w:t>
            </w:r>
            <w:r w:rsidR="00BA4637">
              <w:rPr>
                <w:rFonts w:ascii="Bookman Old Style" w:eastAsia="Calibri" w:hAnsi="Bookman Old Style" w:cs="Times New Roman"/>
                <w:sz w:val="20"/>
                <w:szCs w:val="20"/>
              </w:rPr>
              <w:t xml:space="preserve">via email on Friday, 10/14/16.  </w:t>
            </w:r>
            <w:r w:rsidR="00E44D77">
              <w:rPr>
                <w:rFonts w:ascii="Bookman Old Style" w:eastAsia="Calibri" w:hAnsi="Bookman Old Style" w:cs="Times New Roman"/>
                <w:sz w:val="20"/>
                <w:szCs w:val="20"/>
              </w:rPr>
              <w:t xml:space="preserve">Note that links remain open for 10 days. </w:t>
            </w:r>
            <w:r w:rsidR="00BA4637">
              <w:rPr>
                <w:rFonts w:ascii="Bookman Old Style" w:eastAsia="Calibri" w:hAnsi="Bookman Old Style" w:cs="Times New Roman"/>
                <w:sz w:val="20"/>
                <w:szCs w:val="20"/>
              </w:rPr>
              <w:t>Please review the module so that program coord</w:t>
            </w:r>
            <w:r w:rsidR="005569D7">
              <w:rPr>
                <w:rFonts w:ascii="Bookman Old Style" w:eastAsia="Calibri" w:hAnsi="Bookman Old Style" w:cs="Times New Roman"/>
                <w:sz w:val="20"/>
                <w:szCs w:val="20"/>
              </w:rPr>
              <w:t>in</w:t>
            </w:r>
            <w:r w:rsidR="00BA4637">
              <w:rPr>
                <w:rFonts w:ascii="Bookman Old Style" w:eastAsia="Calibri" w:hAnsi="Bookman Old Style" w:cs="Times New Roman"/>
                <w:sz w:val="20"/>
                <w:szCs w:val="20"/>
              </w:rPr>
              <w:t xml:space="preserve">ators </w:t>
            </w:r>
            <w:r w:rsidR="005569D7">
              <w:rPr>
                <w:rFonts w:ascii="Bookman Old Style" w:eastAsia="Calibri" w:hAnsi="Bookman Old Style" w:cs="Times New Roman"/>
                <w:sz w:val="20"/>
                <w:szCs w:val="20"/>
              </w:rPr>
              <w:t>can meet and</w:t>
            </w:r>
            <w:r w:rsidR="00BA4637">
              <w:rPr>
                <w:rFonts w:ascii="Bookman Old Style" w:eastAsia="Calibri" w:hAnsi="Bookman Old Style" w:cs="Times New Roman"/>
                <w:sz w:val="20"/>
                <w:szCs w:val="20"/>
              </w:rPr>
              <w:t xml:space="preserve"> determine where it makes most sense to embed in each program. </w:t>
            </w:r>
            <w:r w:rsidR="00E44D77">
              <w:rPr>
                <w:rFonts w:ascii="Bookman Old Style" w:eastAsia="Calibri" w:hAnsi="Bookman Old Style" w:cs="Times New Roman"/>
                <w:sz w:val="20"/>
                <w:szCs w:val="20"/>
              </w:rPr>
              <w:t>It may make sense to associate the module with SPED 315 with a requirement it be completed prior to students teaching.</w:t>
            </w:r>
            <w:r w:rsidR="00BA4637">
              <w:rPr>
                <w:rFonts w:ascii="Bookman Old Style" w:eastAsia="Calibri" w:hAnsi="Bookman Old Style" w:cs="Times New Roman"/>
                <w:sz w:val="20"/>
                <w:szCs w:val="20"/>
              </w:rPr>
              <w:t xml:space="preserve"> </w:t>
            </w:r>
            <w:r w:rsidR="00E44D77">
              <w:rPr>
                <w:rFonts w:ascii="Bookman Old Style" w:eastAsia="Calibri" w:hAnsi="Bookman Old Style" w:cs="Times New Roman"/>
                <w:sz w:val="20"/>
                <w:szCs w:val="20"/>
              </w:rPr>
              <w:t>Joan will be in touch with coordinators.</w:t>
            </w:r>
          </w:p>
          <w:p w:rsidR="00D8510F" w:rsidRPr="008616D7" w:rsidRDefault="00D8510F" w:rsidP="007A40B4">
            <w:pPr>
              <w:tabs>
                <w:tab w:val="left" w:pos="2230"/>
              </w:tabs>
              <w:rPr>
                <w:rFonts w:ascii="Bookman Old Style" w:eastAsia="Calibri" w:hAnsi="Bookman Old Style" w:cs="Times New Roman"/>
                <w:sz w:val="20"/>
                <w:szCs w:val="20"/>
              </w:rPr>
            </w:pPr>
          </w:p>
          <w:p w:rsidR="00AE721B" w:rsidRDefault="00AE721B" w:rsidP="007A40B4">
            <w:pPr>
              <w:tabs>
                <w:tab w:val="left" w:pos="2230"/>
              </w:tabs>
              <w:rPr>
                <w:rFonts w:ascii="Bookman Old Style" w:eastAsia="Calibri" w:hAnsi="Bookman Old Style" w:cs="Times New Roman"/>
                <w:sz w:val="20"/>
                <w:szCs w:val="20"/>
              </w:rPr>
            </w:pPr>
          </w:p>
          <w:p w:rsidR="009C5CC9" w:rsidRDefault="00AE721B" w:rsidP="003C0FFE">
            <w:pPr>
              <w:tabs>
                <w:tab w:val="left" w:pos="2230"/>
              </w:tabs>
              <w:rPr>
                <w:rFonts w:ascii="Bookman Old Style" w:eastAsia="Calibri" w:hAnsi="Bookman Old Style" w:cs="Times New Roman"/>
                <w:sz w:val="20"/>
                <w:szCs w:val="20"/>
              </w:rPr>
            </w:pPr>
            <w:r w:rsidRPr="00AE721B">
              <w:rPr>
                <w:rFonts w:ascii="Bookman Old Style" w:eastAsia="Calibri" w:hAnsi="Bookman Old Style" w:cs="Times New Roman"/>
                <w:b/>
                <w:sz w:val="20"/>
                <w:szCs w:val="20"/>
              </w:rPr>
              <w:t>UDL update</w:t>
            </w:r>
            <w:r>
              <w:rPr>
                <w:rFonts w:ascii="Bookman Old Style" w:eastAsia="Calibri" w:hAnsi="Bookman Old Style" w:cs="Times New Roman"/>
                <w:b/>
                <w:sz w:val="20"/>
                <w:szCs w:val="20"/>
              </w:rPr>
              <w:t xml:space="preserve">--- </w:t>
            </w:r>
            <w:r w:rsidRPr="00AE721B">
              <w:rPr>
                <w:rFonts w:ascii="Bookman Old Style" w:eastAsia="Calibri" w:hAnsi="Bookman Old Style" w:cs="Times New Roman"/>
                <w:sz w:val="20"/>
                <w:szCs w:val="20"/>
              </w:rPr>
              <w:t>Joan N</w:t>
            </w:r>
            <w:r w:rsidR="008616D7">
              <w:rPr>
                <w:rFonts w:ascii="Bookman Old Style" w:eastAsia="Calibri" w:hAnsi="Bookman Old Style" w:cs="Times New Roman"/>
                <w:sz w:val="20"/>
                <w:szCs w:val="20"/>
              </w:rPr>
              <w:t>icol-</w:t>
            </w:r>
            <w:proofErr w:type="spellStart"/>
            <w:r w:rsidRPr="00AE721B">
              <w:rPr>
                <w:rFonts w:ascii="Bookman Old Style" w:eastAsia="Calibri" w:hAnsi="Bookman Old Style" w:cs="Times New Roman"/>
                <w:sz w:val="20"/>
                <w:szCs w:val="20"/>
              </w:rPr>
              <w:t>Senft</w:t>
            </w:r>
            <w:proofErr w:type="spellEnd"/>
            <w:r>
              <w:rPr>
                <w:rFonts w:ascii="Bookman Old Style" w:eastAsia="Calibri" w:hAnsi="Bookman Old Style" w:cs="Times New Roman"/>
                <w:sz w:val="20"/>
                <w:szCs w:val="20"/>
              </w:rPr>
              <w:t xml:space="preserve"> and Sally Drew</w:t>
            </w:r>
          </w:p>
          <w:p w:rsidR="00D8510F" w:rsidRDefault="00D8510F" w:rsidP="003C0FFE">
            <w:pPr>
              <w:tabs>
                <w:tab w:val="left" w:pos="2230"/>
              </w:tabs>
              <w:rPr>
                <w:rFonts w:ascii="Bookman Old Style" w:eastAsia="Calibri" w:hAnsi="Bookman Old Style" w:cs="Times New Roman"/>
                <w:sz w:val="20"/>
                <w:szCs w:val="20"/>
              </w:rPr>
            </w:pPr>
          </w:p>
          <w:p w:rsidR="00D8510F" w:rsidRDefault="00E44D77" w:rsidP="003C0FFE">
            <w:pPr>
              <w:tabs>
                <w:tab w:val="left" w:pos="2230"/>
              </w:tabs>
              <w:rPr>
                <w:rFonts w:ascii="Bookman Old Style" w:eastAsia="Calibri" w:hAnsi="Bookman Old Style" w:cs="Times New Roman"/>
                <w:sz w:val="20"/>
                <w:szCs w:val="20"/>
              </w:rPr>
            </w:pPr>
            <w:r>
              <w:rPr>
                <w:rFonts w:ascii="Bookman Old Style" w:eastAsia="Calibri" w:hAnsi="Bookman Old Style" w:cs="Times New Roman"/>
                <w:sz w:val="20"/>
                <w:szCs w:val="20"/>
              </w:rPr>
              <w:t>The Universal D</w:t>
            </w:r>
            <w:r w:rsidR="005569D7">
              <w:rPr>
                <w:rFonts w:ascii="Bookman Old Style" w:eastAsia="Calibri" w:hAnsi="Bookman Old Style" w:cs="Times New Roman"/>
                <w:sz w:val="20"/>
                <w:szCs w:val="20"/>
              </w:rPr>
              <w:t>esign for L</w:t>
            </w:r>
            <w:r w:rsidR="00BA4637">
              <w:rPr>
                <w:rFonts w:ascii="Bookman Old Style" w:eastAsia="Calibri" w:hAnsi="Bookman Old Style" w:cs="Times New Roman"/>
                <w:sz w:val="20"/>
                <w:szCs w:val="20"/>
              </w:rPr>
              <w:t xml:space="preserve">earning </w:t>
            </w:r>
            <w:r>
              <w:rPr>
                <w:rFonts w:ascii="Bookman Old Style" w:eastAsia="Calibri" w:hAnsi="Bookman Old Style" w:cs="Times New Roman"/>
                <w:sz w:val="20"/>
                <w:szCs w:val="20"/>
              </w:rPr>
              <w:t xml:space="preserve">(UDL) </w:t>
            </w:r>
            <w:r w:rsidR="005569D7">
              <w:rPr>
                <w:rFonts w:ascii="Bookman Old Style" w:eastAsia="Calibri" w:hAnsi="Bookman Old Style" w:cs="Times New Roman"/>
                <w:sz w:val="20"/>
                <w:szCs w:val="20"/>
              </w:rPr>
              <w:t>lesson plan and rubric have</w:t>
            </w:r>
            <w:r w:rsidR="00BA4637">
              <w:rPr>
                <w:rFonts w:ascii="Bookman Old Style" w:eastAsia="Calibri" w:hAnsi="Bookman Old Style" w:cs="Times New Roman"/>
                <w:sz w:val="20"/>
                <w:szCs w:val="20"/>
              </w:rPr>
              <w:t xml:space="preserve"> received feedback from an external evaluator.  A pilot of the rubric is occurring this semester for additional feedback.  Then it will be sent to CAEP for final review.  Remember that each and every prompt is not expected to be addressed; only areas as necessary. </w:t>
            </w:r>
            <w:r w:rsidR="005569D7">
              <w:rPr>
                <w:rFonts w:ascii="Bookman Old Style" w:eastAsia="Calibri" w:hAnsi="Bookman Old Style" w:cs="Times New Roman"/>
                <w:sz w:val="20"/>
                <w:szCs w:val="20"/>
              </w:rPr>
              <w:t xml:space="preserve"> A book discussion will be forming; seven c</w:t>
            </w:r>
            <w:r w:rsidR="00BA4637">
              <w:rPr>
                <w:rFonts w:ascii="Bookman Old Style" w:eastAsia="Calibri" w:hAnsi="Bookman Old Style" w:cs="Times New Roman"/>
                <w:sz w:val="20"/>
                <w:szCs w:val="20"/>
              </w:rPr>
              <w:t>opies of the</w:t>
            </w:r>
            <w:r w:rsidR="005569D7">
              <w:rPr>
                <w:rFonts w:ascii="Bookman Old Style" w:eastAsia="Calibri" w:hAnsi="Bookman Old Style" w:cs="Times New Roman"/>
                <w:sz w:val="20"/>
                <w:szCs w:val="20"/>
              </w:rPr>
              <w:t xml:space="preserve"> UDL</w:t>
            </w:r>
            <w:r w:rsidR="00BA4637">
              <w:rPr>
                <w:rFonts w:ascii="Bookman Old Style" w:eastAsia="Calibri" w:hAnsi="Bookman Old Style" w:cs="Times New Roman"/>
                <w:sz w:val="20"/>
                <w:szCs w:val="20"/>
              </w:rPr>
              <w:t xml:space="preserve"> book have been ordered and will be offered to CTEC members by email when they arrive.  </w:t>
            </w:r>
          </w:p>
          <w:p w:rsidR="00D8510F" w:rsidRDefault="00D8510F" w:rsidP="003C0FFE">
            <w:pPr>
              <w:tabs>
                <w:tab w:val="left" w:pos="2230"/>
              </w:tabs>
              <w:rPr>
                <w:rFonts w:ascii="Bookman Old Style" w:eastAsia="Calibri" w:hAnsi="Bookman Old Style" w:cs="Times New Roman"/>
                <w:sz w:val="20"/>
                <w:szCs w:val="20"/>
              </w:rPr>
            </w:pPr>
          </w:p>
          <w:p w:rsidR="00D8510F" w:rsidRPr="00B07E3A" w:rsidRDefault="00D8510F" w:rsidP="003C0FFE">
            <w:pPr>
              <w:tabs>
                <w:tab w:val="left" w:pos="2230"/>
              </w:tabs>
              <w:rPr>
                <w:rFonts w:ascii="Bookman Old Style" w:eastAsia="Calibri" w:hAnsi="Bookman Old Style" w:cs="Times New Roman"/>
                <w:b/>
                <w:sz w:val="20"/>
                <w:szCs w:val="20"/>
              </w:rPr>
            </w:pPr>
          </w:p>
        </w:tc>
        <w:tc>
          <w:tcPr>
            <w:tcW w:w="270" w:type="dxa"/>
          </w:tcPr>
          <w:p w:rsidR="005A17C3" w:rsidRPr="00EB3CC1" w:rsidRDefault="005A17C3" w:rsidP="009C5CC9">
            <w:pPr>
              <w:rPr>
                <w:rFonts w:ascii="Bookman Old Style" w:eastAsia="Calibri" w:hAnsi="Bookman Old Style" w:cs="Times New Roman"/>
                <w:sz w:val="20"/>
                <w:szCs w:val="20"/>
              </w:rPr>
            </w:pPr>
          </w:p>
        </w:tc>
      </w:tr>
      <w:tr w:rsidR="005A17C3" w:rsidRPr="00EB3CC1" w:rsidTr="00E12FC0">
        <w:tc>
          <w:tcPr>
            <w:tcW w:w="630" w:type="dxa"/>
          </w:tcPr>
          <w:p w:rsidR="005A17C3" w:rsidRPr="00EB3CC1" w:rsidRDefault="00E12FC0" w:rsidP="007A40B4">
            <w:pPr>
              <w:jc w:val="both"/>
              <w:rPr>
                <w:rFonts w:ascii="Bookman Old Style" w:eastAsia="Calibri" w:hAnsi="Bookman Old Style" w:cs="Times New Roman"/>
                <w:sz w:val="20"/>
                <w:szCs w:val="20"/>
              </w:rPr>
            </w:pPr>
            <w:r>
              <w:rPr>
                <w:rFonts w:ascii="Bookman Old Style" w:eastAsia="Calibri" w:hAnsi="Bookman Old Style" w:cs="Times New Roman"/>
                <w:sz w:val="20"/>
                <w:szCs w:val="20"/>
              </w:rPr>
              <w:t>IV.</w:t>
            </w:r>
          </w:p>
        </w:tc>
        <w:tc>
          <w:tcPr>
            <w:tcW w:w="9990" w:type="dxa"/>
          </w:tcPr>
          <w:p w:rsidR="00B07E3A" w:rsidRDefault="00C5020A" w:rsidP="00B07E3A">
            <w:pPr>
              <w:contextualSpacing/>
              <w:rPr>
                <w:rFonts w:ascii="Bookman Old Style" w:eastAsia="Calibri" w:hAnsi="Bookman Old Style" w:cs="Times New Roman"/>
                <w:b/>
                <w:sz w:val="20"/>
                <w:szCs w:val="20"/>
              </w:rPr>
            </w:pPr>
            <w:r w:rsidRPr="00F8483B">
              <w:rPr>
                <w:rFonts w:ascii="Bookman Old Style" w:eastAsia="Calibri" w:hAnsi="Bookman Old Style" w:cs="Times New Roman"/>
                <w:b/>
                <w:sz w:val="20"/>
                <w:szCs w:val="20"/>
              </w:rPr>
              <w:t>Assessment Subcommittee report</w:t>
            </w:r>
          </w:p>
          <w:p w:rsidR="005A17C3" w:rsidRPr="001147DB" w:rsidRDefault="00AE721B" w:rsidP="005415B7">
            <w:pPr>
              <w:tabs>
                <w:tab w:val="left" w:pos="2230"/>
              </w:tabs>
              <w:rPr>
                <w:rFonts w:ascii="Bookman Old Style" w:eastAsia="Calibri" w:hAnsi="Bookman Old Style" w:cs="Times New Roman"/>
                <w:b/>
                <w:sz w:val="20"/>
                <w:szCs w:val="20"/>
              </w:rPr>
            </w:pPr>
            <w:r w:rsidRPr="001147DB">
              <w:rPr>
                <w:rFonts w:ascii="Bookman Old Style" w:eastAsia="Calibri" w:hAnsi="Bookman Old Style" w:cs="Times New Roman"/>
                <w:b/>
                <w:sz w:val="20"/>
                <w:szCs w:val="20"/>
              </w:rPr>
              <w:t>Draft of an early field experience evaluation</w:t>
            </w:r>
            <w:r w:rsidR="008616D7" w:rsidRPr="001147DB">
              <w:rPr>
                <w:rFonts w:ascii="Bookman Old Style" w:eastAsia="Calibri" w:hAnsi="Bookman Old Style" w:cs="Times New Roman"/>
                <w:b/>
                <w:sz w:val="20"/>
                <w:szCs w:val="20"/>
              </w:rPr>
              <w:t xml:space="preserve"> we might use as basis for spring 2017 pilots across programs.</w:t>
            </w:r>
          </w:p>
          <w:p w:rsidR="001147DB" w:rsidRDefault="001147DB" w:rsidP="005415B7">
            <w:pPr>
              <w:tabs>
                <w:tab w:val="left" w:pos="2230"/>
              </w:tabs>
              <w:rPr>
                <w:rFonts w:ascii="Bookman Old Style" w:eastAsia="Calibri" w:hAnsi="Bookman Old Style" w:cs="Times New Roman"/>
                <w:sz w:val="20"/>
                <w:szCs w:val="20"/>
              </w:rPr>
            </w:pPr>
          </w:p>
          <w:p w:rsidR="00D8510F" w:rsidRDefault="00BA4637" w:rsidP="005415B7">
            <w:pPr>
              <w:tabs>
                <w:tab w:val="left" w:pos="2230"/>
              </w:tabs>
              <w:rPr>
                <w:rFonts w:ascii="Bookman Old Style" w:eastAsia="Calibri" w:hAnsi="Bookman Old Style" w:cs="Times New Roman"/>
                <w:sz w:val="20"/>
                <w:szCs w:val="20"/>
              </w:rPr>
            </w:pPr>
            <w:r>
              <w:rPr>
                <w:rFonts w:ascii="Bookman Old Style" w:eastAsia="Calibri" w:hAnsi="Bookman Old Style" w:cs="Times New Roman"/>
                <w:sz w:val="20"/>
                <w:szCs w:val="20"/>
              </w:rPr>
              <w:t xml:space="preserve">These evaluations are </w:t>
            </w:r>
            <w:r w:rsidR="00E44D77">
              <w:rPr>
                <w:rFonts w:ascii="Bookman Old Style" w:eastAsia="Calibri" w:hAnsi="Bookman Old Style" w:cs="Times New Roman"/>
                <w:sz w:val="20"/>
                <w:szCs w:val="20"/>
              </w:rPr>
              <w:t xml:space="preserve">intended to seek feedback </w:t>
            </w:r>
            <w:r>
              <w:rPr>
                <w:rFonts w:ascii="Bookman Old Style" w:eastAsia="Calibri" w:hAnsi="Bookman Old Style" w:cs="Times New Roman"/>
                <w:sz w:val="20"/>
                <w:szCs w:val="20"/>
              </w:rPr>
              <w:t>for active field work</w:t>
            </w:r>
            <w:r w:rsidR="001147DB">
              <w:rPr>
                <w:rFonts w:ascii="Bookman Old Style" w:eastAsia="Calibri" w:hAnsi="Bookman Old Style" w:cs="Times New Roman"/>
                <w:sz w:val="20"/>
                <w:szCs w:val="20"/>
              </w:rPr>
              <w:t xml:space="preserve"> </w:t>
            </w:r>
            <w:r w:rsidR="00E44D77">
              <w:rPr>
                <w:rFonts w:ascii="Bookman Old Style" w:eastAsia="Calibri" w:hAnsi="Bookman Old Style" w:cs="Times New Roman"/>
                <w:sz w:val="20"/>
                <w:szCs w:val="20"/>
              </w:rPr>
              <w:t>– not a situation where the candidate’s sole role is to observe.</w:t>
            </w:r>
            <w:r>
              <w:rPr>
                <w:rFonts w:ascii="Bookman Old Style" w:eastAsia="Calibri" w:hAnsi="Bookman Old Style" w:cs="Times New Roman"/>
                <w:sz w:val="20"/>
                <w:szCs w:val="20"/>
              </w:rPr>
              <w:t xml:space="preserve"> The idea is to have formative feedback over the course of the semester.  A URL link </w:t>
            </w:r>
            <w:r w:rsidR="00E44D77">
              <w:rPr>
                <w:rFonts w:ascii="Bookman Old Style" w:eastAsia="Calibri" w:hAnsi="Bookman Old Style" w:cs="Times New Roman"/>
                <w:sz w:val="20"/>
                <w:szCs w:val="20"/>
              </w:rPr>
              <w:t xml:space="preserve">for the electronic survey </w:t>
            </w:r>
            <w:r>
              <w:rPr>
                <w:rFonts w:ascii="Bookman Old Style" w:eastAsia="Calibri" w:hAnsi="Bookman Old Style" w:cs="Times New Roman"/>
                <w:sz w:val="20"/>
                <w:szCs w:val="20"/>
              </w:rPr>
              <w:t>is sent to</w:t>
            </w:r>
            <w:r w:rsidR="001147DB">
              <w:rPr>
                <w:rFonts w:ascii="Bookman Old Style" w:eastAsia="Calibri" w:hAnsi="Bookman Old Style" w:cs="Times New Roman"/>
                <w:sz w:val="20"/>
                <w:szCs w:val="20"/>
              </w:rPr>
              <w:t xml:space="preserve"> the cooperating teacher (every 2-4 weeks) that does not require much time but can potentially show areas of weakness and improvement (or lack thereof) over time. </w:t>
            </w:r>
            <w:r w:rsidR="005569D7">
              <w:rPr>
                <w:rFonts w:ascii="Bookman Old Style" w:eastAsia="Calibri" w:hAnsi="Bookman Old Style" w:cs="Times New Roman"/>
                <w:sz w:val="20"/>
                <w:szCs w:val="20"/>
              </w:rPr>
              <w:t xml:space="preserve"> Program coordinators will be sent an electronic version of the draft evaluation for review</w:t>
            </w:r>
            <w:r w:rsidR="00E44D77">
              <w:rPr>
                <w:rFonts w:ascii="Bookman Old Style" w:eastAsia="Calibri" w:hAnsi="Bookman Old Style" w:cs="Times New Roman"/>
                <w:sz w:val="20"/>
                <w:szCs w:val="20"/>
              </w:rPr>
              <w:t xml:space="preserve"> and to solicit formative feedback</w:t>
            </w:r>
            <w:r w:rsidR="005569D7">
              <w:rPr>
                <w:rFonts w:ascii="Bookman Old Style" w:eastAsia="Calibri" w:hAnsi="Bookman Old Style" w:cs="Times New Roman"/>
                <w:sz w:val="20"/>
                <w:szCs w:val="20"/>
              </w:rPr>
              <w:t>.</w:t>
            </w:r>
            <w:r w:rsidR="001147DB">
              <w:rPr>
                <w:rFonts w:ascii="Bookman Old Style" w:eastAsia="Calibri" w:hAnsi="Bookman Old Style" w:cs="Times New Roman"/>
                <w:sz w:val="20"/>
                <w:szCs w:val="20"/>
              </w:rPr>
              <w:t xml:space="preserve">   </w:t>
            </w:r>
          </w:p>
          <w:p w:rsidR="00D8510F" w:rsidRDefault="00D8510F" w:rsidP="005415B7">
            <w:pPr>
              <w:tabs>
                <w:tab w:val="left" w:pos="2230"/>
              </w:tabs>
              <w:rPr>
                <w:rFonts w:ascii="Bookman Old Style" w:eastAsia="Calibri" w:hAnsi="Bookman Old Style" w:cs="Times New Roman"/>
                <w:sz w:val="20"/>
                <w:szCs w:val="20"/>
              </w:rPr>
            </w:pPr>
          </w:p>
          <w:p w:rsidR="00C5020A" w:rsidRPr="00C5020A" w:rsidRDefault="00C5020A" w:rsidP="005415B7">
            <w:pPr>
              <w:tabs>
                <w:tab w:val="left" w:pos="2230"/>
              </w:tabs>
              <w:rPr>
                <w:rFonts w:ascii="Bookman Old Style" w:eastAsia="Calibri" w:hAnsi="Bookman Old Style" w:cs="Times New Roman"/>
                <w:sz w:val="20"/>
                <w:szCs w:val="20"/>
              </w:rPr>
            </w:pPr>
          </w:p>
        </w:tc>
        <w:tc>
          <w:tcPr>
            <w:tcW w:w="270" w:type="dxa"/>
          </w:tcPr>
          <w:p w:rsidR="004A20FF" w:rsidRPr="00EB3CC1" w:rsidRDefault="004A20FF" w:rsidP="007A40B4">
            <w:pPr>
              <w:rPr>
                <w:rFonts w:ascii="Bookman Old Style" w:eastAsia="Calibri" w:hAnsi="Bookman Old Style" w:cs="Times New Roman"/>
                <w:sz w:val="20"/>
                <w:szCs w:val="20"/>
              </w:rPr>
            </w:pPr>
          </w:p>
        </w:tc>
      </w:tr>
      <w:tr w:rsidR="009A37B8" w:rsidRPr="00EB3CC1" w:rsidTr="00E12FC0">
        <w:tc>
          <w:tcPr>
            <w:tcW w:w="630" w:type="dxa"/>
          </w:tcPr>
          <w:p w:rsidR="009A37B8" w:rsidRPr="00EB3CC1" w:rsidRDefault="00E12FC0" w:rsidP="003C0FFE">
            <w:pPr>
              <w:jc w:val="both"/>
              <w:rPr>
                <w:rFonts w:ascii="Bookman Old Style" w:eastAsia="Calibri" w:hAnsi="Bookman Old Style" w:cs="Times New Roman"/>
                <w:sz w:val="20"/>
                <w:szCs w:val="20"/>
              </w:rPr>
            </w:pPr>
            <w:r>
              <w:rPr>
                <w:rFonts w:ascii="Bookman Old Style" w:eastAsia="Calibri" w:hAnsi="Bookman Old Style" w:cs="Times New Roman"/>
                <w:sz w:val="20"/>
                <w:szCs w:val="20"/>
              </w:rPr>
              <w:t>V.</w:t>
            </w:r>
          </w:p>
        </w:tc>
        <w:tc>
          <w:tcPr>
            <w:tcW w:w="9990" w:type="dxa"/>
          </w:tcPr>
          <w:p w:rsidR="009A37B8" w:rsidRDefault="009A37B8" w:rsidP="009A37B8">
            <w:pPr>
              <w:tabs>
                <w:tab w:val="left" w:pos="2230"/>
              </w:tabs>
              <w:rPr>
                <w:rFonts w:ascii="Bookman Old Style" w:eastAsia="Calibri" w:hAnsi="Bookman Old Style" w:cs="Times New Roman"/>
                <w:b/>
                <w:sz w:val="20"/>
                <w:szCs w:val="20"/>
              </w:rPr>
            </w:pPr>
            <w:r>
              <w:rPr>
                <w:rFonts w:ascii="Bookman Old Style" w:eastAsia="Calibri" w:hAnsi="Bookman Old Style" w:cs="Times New Roman"/>
                <w:b/>
                <w:sz w:val="20"/>
                <w:szCs w:val="20"/>
              </w:rPr>
              <w:t xml:space="preserve">Partnership Subcommittee report </w:t>
            </w:r>
          </w:p>
          <w:p w:rsidR="009A37B8" w:rsidRPr="001147DB" w:rsidRDefault="003C0FFE" w:rsidP="00C525E6">
            <w:pPr>
              <w:tabs>
                <w:tab w:val="left" w:pos="2230"/>
              </w:tabs>
              <w:rPr>
                <w:rFonts w:ascii="Bookman Old Style" w:eastAsia="Calibri" w:hAnsi="Bookman Old Style" w:cs="Times New Roman"/>
                <w:b/>
                <w:sz w:val="20"/>
                <w:szCs w:val="20"/>
              </w:rPr>
            </w:pPr>
            <w:r w:rsidRPr="001147DB">
              <w:rPr>
                <w:rFonts w:ascii="Bookman Old Style" w:eastAsia="Calibri" w:hAnsi="Bookman Old Style" w:cs="Times New Roman"/>
                <w:b/>
                <w:sz w:val="20"/>
                <w:szCs w:val="20"/>
              </w:rPr>
              <w:t>Welcome to o</w:t>
            </w:r>
            <w:r w:rsidR="00C525E6" w:rsidRPr="001147DB">
              <w:rPr>
                <w:rFonts w:ascii="Bookman Old Style" w:eastAsia="Calibri" w:hAnsi="Bookman Old Style" w:cs="Times New Roman"/>
                <w:b/>
                <w:sz w:val="20"/>
                <w:szCs w:val="20"/>
              </w:rPr>
              <w:t>ur fo</w:t>
            </w:r>
            <w:r w:rsidR="005569D7">
              <w:rPr>
                <w:rFonts w:ascii="Bookman Old Style" w:eastAsia="Calibri" w:hAnsi="Bookman Old Style" w:cs="Times New Roman"/>
                <w:b/>
                <w:sz w:val="20"/>
                <w:szCs w:val="20"/>
              </w:rPr>
              <w:t xml:space="preserve">rmal partners for 2016-2017; </w:t>
            </w:r>
            <w:r w:rsidR="00C525E6" w:rsidRPr="001147DB">
              <w:rPr>
                <w:rFonts w:ascii="Bookman Old Style" w:eastAsia="Calibri" w:hAnsi="Bookman Old Style" w:cs="Times New Roman"/>
                <w:b/>
                <w:sz w:val="20"/>
                <w:szCs w:val="20"/>
              </w:rPr>
              <w:t xml:space="preserve">Cromwell, </w:t>
            </w:r>
            <w:r w:rsidR="008616D7" w:rsidRPr="001147DB">
              <w:rPr>
                <w:rFonts w:ascii="Bookman Old Style" w:eastAsia="Calibri" w:hAnsi="Bookman Old Style" w:cs="Times New Roman"/>
                <w:b/>
                <w:sz w:val="20"/>
                <w:szCs w:val="20"/>
              </w:rPr>
              <w:t>Meriden</w:t>
            </w:r>
            <w:r w:rsidR="00C525E6" w:rsidRPr="001147DB">
              <w:rPr>
                <w:rFonts w:ascii="Bookman Old Style" w:eastAsia="Calibri" w:hAnsi="Bookman Old Style" w:cs="Times New Roman"/>
                <w:b/>
                <w:sz w:val="20"/>
                <w:szCs w:val="20"/>
              </w:rPr>
              <w:t xml:space="preserve">, Middletown, New Britain, </w:t>
            </w:r>
            <w:r w:rsidR="008616D7" w:rsidRPr="001147DB">
              <w:rPr>
                <w:rFonts w:ascii="Bookman Old Style" w:eastAsia="Calibri" w:hAnsi="Bookman Old Style" w:cs="Times New Roman"/>
                <w:b/>
                <w:sz w:val="20"/>
                <w:szCs w:val="20"/>
              </w:rPr>
              <w:t xml:space="preserve">Plainville, and Wethersfield </w:t>
            </w:r>
            <w:r w:rsidR="00C436B9" w:rsidRPr="001147DB">
              <w:rPr>
                <w:rFonts w:ascii="Bookman Old Style" w:eastAsia="Calibri" w:hAnsi="Bookman Old Style" w:cs="Times New Roman"/>
                <w:b/>
                <w:sz w:val="20"/>
                <w:szCs w:val="20"/>
              </w:rPr>
              <w:t>school districts</w:t>
            </w:r>
            <w:r w:rsidR="00C525E6" w:rsidRPr="001147DB">
              <w:rPr>
                <w:rFonts w:ascii="Bookman Old Style" w:eastAsia="Calibri" w:hAnsi="Bookman Old Style" w:cs="Times New Roman"/>
                <w:b/>
                <w:sz w:val="20"/>
                <w:szCs w:val="20"/>
              </w:rPr>
              <w:t xml:space="preserve"> and the Br</w:t>
            </w:r>
            <w:r w:rsidR="005569D7">
              <w:rPr>
                <w:rFonts w:ascii="Bookman Old Style" w:eastAsia="Calibri" w:hAnsi="Bookman Old Style" w:cs="Times New Roman"/>
                <w:b/>
                <w:sz w:val="20"/>
                <w:szCs w:val="20"/>
              </w:rPr>
              <w:t>istol world language department</w:t>
            </w:r>
            <w:r w:rsidR="00C436B9" w:rsidRPr="001147DB">
              <w:rPr>
                <w:rFonts w:ascii="Bookman Old Style" w:eastAsia="Calibri" w:hAnsi="Bookman Old Style" w:cs="Times New Roman"/>
                <w:b/>
                <w:sz w:val="20"/>
                <w:szCs w:val="20"/>
              </w:rPr>
              <w:t>.</w:t>
            </w:r>
          </w:p>
          <w:p w:rsidR="003C0FFE" w:rsidRPr="001147DB" w:rsidRDefault="003C0FFE" w:rsidP="008616D7">
            <w:pPr>
              <w:tabs>
                <w:tab w:val="left" w:pos="2230"/>
              </w:tabs>
              <w:rPr>
                <w:rFonts w:ascii="Bookman Old Style" w:eastAsia="Calibri" w:hAnsi="Bookman Old Style" w:cs="Times New Roman"/>
                <w:b/>
                <w:sz w:val="20"/>
                <w:szCs w:val="20"/>
              </w:rPr>
            </w:pPr>
          </w:p>
          <w:p w:rsidR="00C5020A" w:rsidRPr="001147DB" w:rsidRDefault="00C5020A" w:rsidP="008616D7">
            <w:pPr>
              <w:tabs>
                <w:tab w:val="left" w:pos="2230"/>
              </w:tabs>
              <w:rPr>
                <w:rFonts w:ascii="Bookman Old Style" w:eastAsia="Calibri" w:hAnsi="Bookman Old Style" w:cs="Times New Roman"/>
                <w:b/>
                <w:sz w:val="20"/>
                <w:szCs w:val="20"/>
              </w:rPr>
            </w:pPr>
            <w:r w:rsidRPr="001147DB">
              <w:rPr>
                <w:rFonts w:ascii="Bookman Old Style" w:eastAsia="Calibri" w:hAnsi="Bookman Old Style" w:cs="Times New Roman"/>
                <w:b/>
                <w:sz w:val="20"/>
                <w:szCs w:val="20"/>
              </w:rPr>
              <w:t xml:space="preserve">Coming attraction: </w:t>
            </w:r>
            <w:r w:rsidR="003C0FFE" w:rsidRPr="001147DB">
              <w:rPr>
                <w:rFonts w:ascii="Bookman Old Style" w:eastAsia="Calibri" w:hAnsi="Bookman Old Style" w:cs="Times New Roman"/>
                <w:b/>
                <w:sz w:val="20"/>
                <w:szCs w:val="20"/>
              </w:rPr>
              <w:t xml:space="preserve">sending two </w:t>
            </w:r>
            <w:r w:rsidR="008616D7" w:rsidRPr="001147DB">
              <w:rPr>
                <w:rFonts w:ascii="Bookman Old Style" w:eastAsia="Calibri" w:hAnsi="Bookman Old Style" w:cs="Times New Roman"/>
                <w:b/>
                <w:sz w:val="20"/>
                <w:szCs w:val="20"/>
              </w:rPr>
              <w:t>representatives to NNER conference later this month (“What is NNER?”-- reminder by Cara)</w:t>
            </w:r>
          </w:p>
          <w:p w:rsidR="00D8510F" w:rsidRDefault="00D8510F" w:rsidP="008616D7">
            <w:pPr>
              <w:tabs>
                <w:tab w:val="left" w:pos="2230"/>
              </w:tabs>
              <w:rPr>
                <w:rFonts w:ascii="Bookman Old Style" w:eastAsia="Calibri" w:hAnsi="Bookman Old Style" w:cs="Times New Roman"/>
                <w:sz w:val="20"/>
                <w:szCs w:val="20"/>
              </w:rPr>
            </w:pPr>
          </w:p>
          <w:p w:rsidR="005569D7" w:rsidRDefault="005569D7" w:rsidP="008616D7">
            <w:pPr>
              <w:tabs>
                <w:tab w:val="left" w:pos="2230"/>
              </w:tabs>
              <w:rPr>
                <w:rFonts w:ascii="Bookman Old Style" w:eastAsia="Calibri" w:hAnsi="Bookman Old Style" w:cs="Times New Roman"/>
                <w:sz w:val="20"/>
                <w:szCs w:val="20"/>
              </w:rPr>
            </w:pPr>
            <w:r>
              <w:rPr>
                <w:rFonts w:ascii="Bookman Old Style" w:eastAsia="Calibri" w:hAnsi="Bookman Old Style" w:cs="Times New Roman"/>
                <w:sz w:val="20"/>
                <w:szCs w:val="20"/>
              </w:rPr>
              <w:t>L. Tafrate and S.</w:t>
            </w:r>
            <w:r w:rsidR="00E44D77">
              <w:rPr>
                <w:rFonts w:ascii="Bookman Old Style" w:eastAsia="Calibri" w:hAnsi="Bookman Old Style" w:cs="Times New Roman"/>
                <w:sz w:val="20"/>
                <w:szCs w:val="20"/>
              </w:rPr>
              <w:t xml:space="preserve"> </w:t>
            </w:r>
            <w:proofErr w:type="spellStart"/>
            <w:r w:rsidR="00E44D77">
              <w:rPr>
                <w:rFonts w:ascii="Bookman Old Style" w:eastAsia="Calibri" w:hAnsi="Bookman Old Style" w:cs="Times New Roman"/>
                <w:sz w:val="20"/>
                <w:szCs w:val="20"/>
              </w:rPr>
              <w:t>Dastoli</w:t>
            </w:r>
            <w:proofErr w:type="spellEnd"/>
            <w:r w:rsidR="00E44D77">
              <w:rPr>
                <w:rFonts w:ascii="Bookman Old Style" w:eastAsia="Calibri" w:hAnsi="Bookman Old Style" w:cs="Times New Roman"/>
                <w:sz w:val="20"/>
                <w:szCs w:val="20"/>
              </w:rPr>
              <w:t xml:space="preserve"> (Assistant</w:t>
            </w:r>
            <w:r>
              <w:rPr>
                <w:rFonts w:ascii="Bookman Old Style" w:eastAsia="Calibri" w:hAnsi="Bookman Old Style" w:cs="Times New Roman"/>
                <w:sz w:val="20"/>
                <w:szCs w:val="20"/>
              </w:rPr>
              <w:t xml:space="preserve"> Superintendent, Wethersfield</w:t>
            </w:r>
            <w:r w:rsidR="00E44D77">
              <w:rPr>
                <w:rFonts w:ascii="Bookman Old Style" w:eastAsia="Calibri" w:hAnsi="Bookman Old Style" w:cs="Times New Roman"/>
                <w:sz w:val="20"/>
                <w:szCs w:val="20"/>
              </w:rPr>
              <w:t>)</w:t>
            </w:r>
            <w:r>
              <w:rPr>
                <w:rFonts w:ascii="Bookman Old Style" w:eastAsia="Calibri" w:hAnsi="Bookman Old Style" w:cs="Times New Roman"/>
                <w:sz w:val="20"/>
                <w:szCs w:val="20"/>
              </w:rPr>
              <w:t xml:space="preserve"> will be attending the </w:t>
            </w:r>
            <w:r w:rsidR="00E44D77">
              <w:rPr>
                <w:rFonts w:ascii="Bookman Old Style" w:eastAsia="Calibri" w:hAnsi="Bookman Old Style" w:cs="Times New Roman"/>
                <w:sz w:val="20"/>
                <w:szCs w:val="20"/>
              </w:rPr>
              <w:t xml:space="preserve">National Network of Education Renewal conference </w:t>
            </w:r>
            <w:r>
              <w:rPr>
                <w:rFonts w:ascii="Bookman Old Style" w:eastAsia="Calibri" w:hAnsi="Bookman Old Style" w:cs="Times New Roman"/>
                <w:sz w:val="20"/>
                <w:szCs w:val="20"/>
              </w:rPr>
              <w:t>in October.  Membership in NNER</w:t>
            </w:r>
            <w:r w:rsidR="001147DB">
              <w:rPr>
                <w:rFonts w:ascii="Bookman Old Style" w:eastAsia="Calibri" w:hAnsi="Bookman Old Style" w:cs="Times New Roman"/>
                <w:sz w:val="20"/>
                <w:szCs w:val="20"/>
              </w:rPr>
              <w:t xml:space="preserve"> </w:t>
            </w:r>
            <w:r w:rsidR="00E44D77">
              <w:rPr>
                <w:rFonts w:ascii="Bookman Old Style" w:eastAsia="Calibri" w:hAnsi="Bookman Old Style" w:cs="Times New Roman"/>
                <w:sz w:val="20"/>
                <w:szCs w:val="20"/>
              </w:rPr>
              <w:t>would</w:t>
            </w:r>
            <w:r w:rsidR="001147DB">
              <w:rPr>
                <w:rFonts w:ascii="Bookman Old Style" w:eastAsia="Calibri" w:hAnsi="Bookman Old Style" w:cs="Times New Roman"/>
                <w:sz w:val="20"/>
                <w:szCs w:val="20"/>
              </w:rPr>
              <w:t xml:space="preserve"> provide </w:t>
            </w:r>
            <w:r w:rsidR="00640C29">
              <w:rPr>
                <w:rFonts w:ascii="Bookman Old Style" w:eastAsia="Calibri" w:hAnsi="Bookman Old Style" w:cs="Times New Roman"/>
                <w:sz w:val="20"/>
                <w:szCs w:val="20"/>
              </w:rPr>
              <w:t>opportunities</w:t>
            </w:r>
            <w:r w:rsidR="001147DB">
              <w:rPr>
                <w:rFonts w:ascii="Bookman Old Style" w:eastAsia="Calibri" w:hAnsi="Bookman Old Style" w:cs="Times New Roman"/>
                <w:sz w:val="20"/>
                <w:szCs w:val="20"/>
              </w:rPr>
              <w:t xml:space="preserve"> </w:t>
            </w:r>
            <w:r w:rsidR="00640C29">
              <w:rPr>
                <w:rFonts w:ascii="Bookman Old Style" w:eastAsia="Calibri" w:hAnsi="Bookman Old Style" w:cs="Times New Roman"/>
                <w:sz w:val="20"/>
                <w:szCs w:val="20"/>
              </w:rPr>
              <w:t xml:space="preserve">for networking, conferences, grants, etc. </w:t>
            </w:r>
            <w:r w:rsidR="00E44D77">
              <w:rPr>
                <w:rFonts w:ascii="Bookman Old Style" w:eastAsia="Calibri" w:hAnsi="Bookman Old Style" w:cs="Times New Roman"/>
                <w:sz w:val="20"/>
                <w:szCs w:val="20"/>
              </w:rPr>
              <w:t>November meeting will seek feedback from conference attendees and consider the potential value of joining NNER.</w:t>
            </w:r>
          </w:p>
          <w:p w:rsidR="005569D7" w:rsidRDefault="005569D7" w:rsidP="008616D7">
            <w:pPr>
              <w:tabs>
                <w:tab w:val="left" w:pos="2230"/>
              </w:tabs>
              <w:rPr>
                <w:rFonts w:ascii="Bookman Old Style" w:eastAsia="Calibri" w:hAnsi="Bookman Old Style" w:cs="Times New Roman"/>
                <w:sz w:val="20"/>
                <w:szCs w:val="20"/>
              </w:rPr>
            </w:pPr>
          </w:p>
          <w:p w:rsidR="00640C29" w:rsidRDefault="00640C29" w:rsidP="008616D7">
            <w:pPr>
              <w:tabs>
                <w:tab w:val="left" w:pos="2230"/>
              </w:tabs>
              <w:rPr>
                <w:rFonts w:ascii="Bookman Old Style" w:eastAsia="Calibri" w:hAnsi="Bookman Old Style" w:cs="Times New Roman"/>
                <w:sz w:val="20"/>
                <w:szCs w:val="20"/>
              </w:rPr>
            </w:pPr>
            <w:r>
              <w:rPr>
                <w:rFonts w:ascii="Bookman Old Style" w:eastAsia="Calibri" w:hAnsi="Bookman Old Style" w:cs="Times New Roman"/>
                <w:sz w:val="20"/>
                <w:szCs w:val="20"/>
              </w:rPr>
              <w:t xml:space="preserve">Reminder that L. Tafrate should be the single designee </w:t>
            </w:r>
            <w:r w:rsidR="00E44D77">
              <w:rPr>
                <w:rFonts w:ascii="Bookman Old Style" w:eastAsia="Calibri" w:hAnsi="Bookman Old Style" w:cs="Times New Roman"/>
                <w:sz w:val="20"/>
                <w:szCs w:val="20"/>
              </w:rPr>
              <w:t xml:space="preserve">for communicating with districts about </w:t>
            </w:r>
            <w:r>
              <w:rPr>
                <w:rFonts w:ascii="Bookman Old Style" w:eastAsia="Calibri" w:hAnsi="Bookman Old Style" w:cs="Times New Roman"/>
                <w:sz w:val="20"/>
                <w:szCs w:val="20"/>
              </w:rPr>
              <w:t xml:space="preserve">field experiences and student teaching. </w:t>
            </w:r>
          </w:p>
          <w:p w:rsidR="00640C29" w:rsidRDefault="00640C29" w:rsidP="008616D7">
            <w:pPr>
              <w:tabs>
                <w:tab w:val="left" w:pos="2230"/>
              </w:tabs>
              <w:rPr>
                <w:rFonts w:ascii="Bookman Old Style" w:eastAsia="Calibri" w:hAnsi="Bookman Old Style" w:cs="Times New Roman"/>
                <w:sz w:val="20"/>
                <w:szCs w:val="20"/>
              </w:rPr>
            </w:pPr>
          </w:p>
          <w:p w:rsidR="001147DB" w:rsidRDefault="00640C29" w:rsidP="008616D7">
            <w:pPr>
              <w:tabs>
                <w:tab w:val="left" w:pos="2230"/>
              </w:tabs>
              <w:rPr>
                <w:rFonts w:ascii="Bookman Old Style" w:eastAsia="Calibri" w:hAnsi="Bookman Old Style" w:cs="Times New Roman"/>
                <w:sz w:val="20"/>
                <w:szCs w:val="20"/>
              </w:rPr>
            </w:pPr>
            <w:r>
              <w:rPr>
                <w:rFonts w:ascii="Bookman Old Style" w:eastAsia="Calibri" w:hAnsi="Bookman Old Style" w:cs="Times New Roman"/>
                <w:sz w:val="20"/>
                <w:szCs w:val="20"/>
              </w:rPr>
              <w:t xml:space="preserve">We </w:t>
            </w:r>
            <w:r w:rsidR="00E44D77">
              <w:rPr>
                <w:rFonts w:ascii="Bookman Old Style" w:eastAsia="Calibri" w:hAnsi="Bookman Old Style" w:cs="Times New Roman"/>
                <w:sz w:val="20"/>
                <w:szCs w:val="20"/>
              </w:rPr>
              <w:t xml:space="preserve">will be soliciting </w:t>
            </w:r>
            <w:r>
              <w:rPr>
                <w:rFonts w:ascii="Bookman Old Style" w:eastAsia="Calibri" w:hAnsi="Bookman Old Style" w:cs="Times New Roman"/>
                <w:sz w:val="20"/>
                <w:szCs w:val="20"/>
              </w:rPr>
              <w:t>subcommittee representation from our partners</w:t>
            </w:r>
            <w:r w:rsidR="00E44D77">
              <w:rPr>
                <w:rFonts w:ascii="Bookman Old Style" w:eastAsia="Calibri" w:hAnsi="Bookman Old Style" w:cs="Times New Roman"/>
                <w:sz w:val="20"/>
                <w:szCs w:val="20"/>
              </w:rPr>
              <w:t xml:space="preserve"> as well as ad </w:t>
            </w:r>
            <w:proofErr w:type="spellStart"/>
            <w:r w:rsidR="00E44D77">
              <w:rPr>
                <w:rFonts w:ascii="Bookman Old Style" w:eastAsia="Calibri" w:hAnsi="Bookman Old Style" w:cs="Times New Roman"/>
                <w:sz w:val="20"/>
                <w:szCs w:val="20"/>
              </w:rPr>
              <w:t>hoic</w:t>
            </w:r>
            <w:proofErr w:type="spellEnd"/>
            <w:r w:rsidR="00E44D77">
              <w:rPr>
                <w:rFonts w:ascii="Bookman Old Style" w:eastAsia="Calibri" w:hAnsi="Bookman Old Style" w:cs="Times New Roman"/>
                <w:sz w:val="20"/>
                <w:szCs w:val="20"/>
              </w:rPr>
              <w:t xml:space="preserve"> committee representation as it becomes relevant</w:t>
            </w:r>
            <w:r>
              <w:rPr>
                <w:rFonts w:ascii="Bookman Old Style" w:eastAsia="Calibri" w:hAnsi="Bookman Old Style" w:cs="Times New Roman"/>
                <w:sz w:val="20"/>
                <w:szCs w:val="20"/>
              </w:rPr>
              <w:t xml:space="preserve">. </w:t>
            </w:r>
          </w:p>
          <w:p w:rsidR="00D8510F" w:rsidRPr="00437EFC" w:rsidRDefault="00D8510F" w:rsidP="00E44D77">
            <w:pPr>
              <w:tabs>
                <w:tab w:val="left" w:pos="2230"/>
              </w:tabs>
              <w:rPr>
                <w:rFonts w:ascii="Bookman Old Style" w:eastAsia="Calibri" w:hAnsi="Bookman Old Style" w:cs="Times New Roman"/>
                <w:sz w:val="20"/>
                <w:szCs w:val="20"/>
              </w:rPr>
            </w:pPr>
          </w:p>
        </w:tc>
        <w:tc>
          <w:tcPr>
            <w:tcW w:w="270" w:type="dxa"/>
          </w:tcPr>
          <w:p w:rsidR="009A37B8" w:rsidRPr="00EB3CC1" w:rsidRDefault="009A37B8" w:rsidP="00B07E3A">
            <w:pPr>
              <w:rPr>
                <w:rFonts w:ascii="Bookman Old Style" w:eastAsia="Calibri" w:hAnsi="Bookman Old Style" w:cs="Times New Roman"/>
                <w:sz w:val="20"/>
                <w:szCs w:val="20"/>
              </w:rPr>
            </w:pPr>
          </w:p>
        </w:tc>
      </w:tr>
      <w:tr w:rsidR="008616D7" w:rsidRPr="00EB3CC1" w:rsidTr="00E12FC0">
        <w:tc>
          <w:tcPr>
            <w:tcW w:w="630" w:type="dxa"/>
          </w:tcPr>
          <w:p w:rsidR="008616D7" w:rsidRDefault="00E12FC0" w:rsidP="00C436B9">
            <w:pPr>
              <w:jc w:val="both"/>
              <w:rPr>
                <w:rFonts w:ascii="Bookman Old Style" w:eastAsia="Calibri" w:hAnsi="Bookman Old Style" w:cs="Times New Roman"/>
                <w:sz w:val="20"/>
                <w:szCs w:val="20"/>
              </w:rPr>
            </w:pPr>
            <w:r>
              <w:rPr>
                <w:rFonts w:ascii="Bookman Old Style" w:eastAsia="Calibri" w:hAnsi="Bookman Old Style" w:cs="Times New Roman"/>
                <w:sz w:val="20"/>
                <w:szCs w:val="20"/>
              </w:rPr>
              <w:t>VI.</w:t>
            </w:r>
          </w:p>
        </w:tc>
        <w:tc>
          <w:tcPr>
            <w:tcW w:w="9990" w:type="dxa"/>
          </w:tcPr>
          <w:p w:rsidR="008616D7" w:rsidRDefault="008616D7" w:rsidP="00C5020A">
            <w:pPr>
              <w:tabs>
                <w:tab w:val="left" w:pos="2230"/>
              </w:tabs>
              <w:rPr>
                <w:rFonts w:ascii="Bookman Old Style" w:eastAsia="Calibri" w:hAnsi="Bookman Old Style" w:cs="Times New Roman"/>
                <w:b/>
                <w:sz w:val="20"/>
                <w:szCs w:val="20"/>
              </w:rPr>
            </w:pPr>
            <w:r w:rsidRPr="008616D7">
              <w:rPr>
                <w:rFonts w:ascii="Bookman Old Style" w:eastAsia="Calibri" w:hAnsi="Bookman Old Style" w:cs="Times New Roman"/>
                <w:b/>
                <w:sz w:val="20"/>
                <w:szCs w:val="20"/>
              </w:rPr>
              <w:t>SEPS Dean update</w:t>
            </w:r>
          </w:p>
          <w:p w:rsidR="00D8510F" w:rsidRPr="0058304D" w:rsidRDefault="0058304D" w:rsidP="00C5020A">
            <w:pPr>
              <w:tabs>
                <w:tab w:val="left" w:pos="2230"/>
              </w:tabs>
              <w:rPr>
                <w:rFonts w:ascii="Bookman Old Style" w:eastAsia="Calibri" w:hAnsi="Bookman Old Style" w:cs="Times New Roman"/>
                <w:sz w:val="20"/>
                <w:szCs w:val="20"/>
              </w:rPr>
            </w:pPr>
            <w:r>
              <w:rPr>
                <w:rFonts w:ascii="Bookman Old Style" w:eastAsia="Calibri" w:hAnsi="Bookman Old Style" w:cs="Times New Roman"/>
                <w:sz w:val="20"/>
                <w:szCs w:val="20"/>
              </w:rPr>
              <w:t>The S</w:t>
            </w:r>
            <w:r w:rsidR="005569D7">
              <w:rPr>
                <w:rFonts w:ascii="Bookman Old Style" w:eastAsia="Calibri" w:hAnsi="Bookman Old Style" w:cs="Times New Roman"/>
                <w:sz w:val="20"/>
                <w:szCs w:val="20"/>
              </w:rPr>
              <w:t>DE is moving toward adoption of ed</w:t>
            </w:r>
            <w:r>
              <w:rPr>
                <w:rFonts w:ascii="Bookman Old Style" w:eastAsia="Calibri" w:hAnsi="Bookman Old Style" w:cs="Times New Roman"/>
                <w:sz w:val="20"/>
                <w:szCs w:val="20"/>
              </w:rPr>
              <w:t>TPA.</w:t>
            </w:r>
            <w:r w:rsidR="00E44D77">
              <w:rPr>
                <w:rFonts w:ascii="Bookman Old Style" w:eastAsia="Calibri" w:hAnsi="Bookman Old Style" w:cs="Times New Roman"/>
                <w:sz w:val="20"/>
                <w:szCs w:val="20"/>
              </w:rPr>
              <w:t xml:space="preserve"> State board action expected in November.</w:t>
            </w:r>
          </w:p>
          <w:p w:rsidR="00D8510F" w:rsidRDefault="00D8510F" w:rsidP="00C5020A">
            <w:pPr>
              <w:tabs>
                <w:tab w:val="left" w:pos="2230"/>
              </w:tabs>
              <w:rPr>
                <w:rFonts w:ascii="Bookman Old Style" w:eastAsia="Calibri" w:hAnsi="Bookman Old Style" w:cs="Times New Roman"/>
                <w:b/>
                <w:sz w:val="20"/>
                <w:szCs w:val="20"/>
              </w:rPr>
            </w:pPr>
          </w:p>
        </w:tc>
        <w:tc>
          <w:tcPr>
            <w:tcW w:w="270" w:type="dxa"/>
          </w:tcPr>
          <w:p w:rsidR="008616D7" w:rsidRDefault="008616D7" w:rsidP="00B07E3A">
            <w:pPr>
              <w:jc w:val="both"/>
              <w:rPr>
                <w:rFonts w:ascii="Bookman Old Style" w:eastAsia="Calibri" w:hAnsi="Bookman Old Style" w:cs="Times New Roman"/>
                <w:sz w:val="20"/>
                <w:szCs w:val="20"/>
              </w:rPr>
            </w:pPr>
          </w:p>
        </w:tc>
      </w:tr>
      <w:tr w:rsidR="00653FE7" w:rsidRPr="00EB3CC1" w:rsidTr="00E12FC0">
        <w:tc>
          <w:tcPr>
            <w:tcW w:w="630" w:type="dxa"/>
          </w:tcPr>
          <w:p w:rsidR="00653FE7" w:rsidRDefault="00653FE7" w:rsidP="00C436B9">
            <w:pPr>
              <w:jc w:val="both"/>
              <w:rPr>
                <w:rFonts w:ascii="Bookman Old Style" w:eastAsia="Calibri" w:hAnsi="Bookman Old Style" w:cs="Times New Roman"/>
                <w:sz w:val="20"/>
                <w:szCs w:val="20"/>
              </w:rPr>
            </w:pPr>
          </w:p>
        </w:tc>
        <w:tc>
          <w:tcPr>
            <w:tcW w:w="9990" w:type="dxa"/>
          </w:tcPr>
          <w:p w:rsidR="00653FE7" w:rsidRPr="008616D7" w:rsidRDefault="00653FE7" w:rsidP="00C5020A">
            <w:pPr>
              <w:tabs>
                <w:tab w:val="left" w:pos="2230"/>
              </w:tabs>
              <w:rPr>
                <w:rFonts w:ascii="Bookman Old Style" w:eastAsia="Calibri" w:hAnsi="Bookman Old Style" w:cs="Times New Roman"/>
                <w:b/>
                <w:sz w:val="20"/>
                <w:szCs w:val="20"/>
              </w:rPr>
            </w:pPr>
          </w:p>
        </w:tc>
        <w:tc>
          <w:tcPr>
            <w:tcW w:w="270" w:type="dxa"/>
          </w:tcPr>
          <w:p w:rsidR="00653FE7" w:rsidRDefault="00653FE7" w:rsidP="00B07E3A">
            <w:pPr>
              <w:jc w:val="both"/>
              <w:rPr>
                <w:rFonts w:ascii="Bookman Old Style" w:eastAsia="Calibri" w:hAnsi="Bookman Old Style" w:cs="Times New Roman"/>
                <w:sz w:val="20"/>
                <w:szCs w:val="20"/>
              </w:rPr>
            </w:pPr>
          </w:p>
        </w:tc>
      </w:tr>
      <w:tr w:rsidR="003C0FFE" w:rsidRPr="00EB3CC1" w:rsidTr="00F57158">
        <w:trPr>
          <w:trHeight w:val="7802"/>
        </w:trPr>
        <w:tc>
          <w:tcPr>
            <w:tcW w:w="630" w:type="dxa"/>
          </w:tcPr>
          <w:p w:rsidR="003C0FFE" w:rsidRDefault="00E12FC0" w:rsidP="00C436B9">
            <w:pPr>
              <w:jc w:val="both"/>
              <w:rPr>
                <w:rFonts w:ascii="Bookman Old Style" w:eastAsia="Calibri" w:hAnsi="Bookman Old Style" w:cs="Times New Roman"/>
                <w:sz w:val="20"/>
                <w:szCs w:val="20"/>
              </w:rPr>
            </w:pPr>
            <w:r>
              <w:rPr>
                <w:rFonts w:ascii="Bookman Old Style" w:eastAsia="Calibri" w:hAnsi="Bookman Old Style" w:cs="Times New Roman"/>
                <w:sz w:val="20"/>
                <w:szCs w:val="20"/>
              </w:rPr>
              <w:t>VII.</w:t>
            </w: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E12FC0" w:rsidRDefault="00E12FC0" w:rsidP="00C436B9">
            <w:pPr>
              <w:jc w:val="both"/>
              <w:rPr>
                <w:rFonts w:ascii="Bookman Old Style" w:eastAsia="Calibri" w:hAnsi="Bookman Old Style" w:cs="Times New Roman"/>
                <w:sz w:val="20"/>
                <w:szCs w:val="20"/>
              </w:rPr>
            </w:pPr>
            <w:r>
              <w:rPr>
                <w:rFonts w:ascii="Bookman Old Style" w:eastAsia="Calibri" w:hAnsi="Bookman Old Style" w:cs="Times New Roman"/>
                <w:sz w:val="20"/>
                <w:szCs w:val="20"/>
              </w:rPr>
              <w:t>VIII.</w:t>
            </w: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E12FC0" w:rsidRDefault="00E12FC0" w:rsidP="00C436B9">
            <w:pPr>
              <w:jc w:val="both"/>
              <w:rPr>
                <w:rFonts w:ascii="Bookman Old Style" w:eastAsia="Calibri" w:hAnsi="Bookman Old Style" w:cs="Times New Roman"/>
                <w:sz w:val="20"/>
                <w:szCs w:val="20"/>
              </w:rPr>
            </w:pPr>
          </w:p>
          <w:p w:rsidR="00F57158" w:rsidRDefault="00F57158"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E12FC0" w:rsidRDefault="00E12FC0" w:rsidP="00C436B9">
            <w:pPr>
              <w:jc w:val="both"/>
              <w:rPr>
                <w:rFonts w:ascii="Bookman Old Style" w:eastAsia="Calibri" w:hAnsi="Bookman Old Style" w:cs="Times New Roman"/>
                <w:sz w:val="20"/>
                <w:szCs w:val="20"/>
              </w:rPr>
            </w:pPr>
            <w:r>
              <w:rPr>
                <w:rFonts w:ascii="Bookman Old Style" w:eastAsia="Calibri" w:hAnsi="Bookman Old Style" w:cs="Times New Roman"/>
                <w:sz w:val="20"/>
                <w:szCs w:val="20"/>
              </w:rPr>
              <w:t>IX.</w:t>
            </w: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D8510F" w:rsidRDefault="00D8510F" w:rsidP="00C436B9">
            <w:pPr>
              <w:jc w:val="both"/>
              <w:rPr>
                <w:rFonts w:ascii="Bookman Old Style" w:eastAsia="Calibri" w:hAnsi="Bookman Old Style" w:cs="Times New Roman"/>
                <w:sz w:val="20"/>
                <w:szCs w:val="20"/>
              </w:rPr>
            </w:pPr>
          </w:p>
          <w:p w:rsidR="00E12FC0" w:rsidRDefault="00E12FC0" w:rsidP="00C436B9">
            <w:pPr>
              <w:jc w:val="both"/>
              <w:rPr>
                <w:rFonts w:ascii="Bookman Old Style" w:eastAsia="Calibri" w:hAnsi="Bookman Old Style" w:cs="Times New Roman"/>
                <w:sz w:val="20"/>
                <w:szCs w:val="20"/>
              </w:rPr>
            </w:pPr>
          </w:p>
          <w:p w:rsidR="0058304D" w:rsidRDefault="0058304D" w:rsidP="00C436B9">
            <w:pPr>
              <w:jc w:val="both"/>
              <w:rPr>
                <w:rFonts w:ascii="Bookman Old Style" w:eastAsia="Calibri" w:hAnsi="Bookman Old Style" w:cs="Times New Roman"/>
                <w:sz w:val="20"/>
                <w:szCs w:val="20"/>
              </w:rPr>
            </w:pPr>
          </w:p>
          <w:p w:rsidR="00F57158" w:rsidRDefault="00F57158" w:rsidP="00C436B9">
            <w:pPr>
              <w:jc w:val="both"/>
              <w:rPr>
                <w:rFonts w:ascii="Bookman Old Style" w:eastAsia="Calibri" w:hAnsi="Bookman Old Style" w:cs="Times New Roman"/>
                <w:sz w:val="20"/>
                <w:szCs w:val="20"/>
              </w:rPr>
            </w:pPr>
          </w:p>
          <w:p w:rsidR="00F57158" w:rsidRDefault="00F57158" w:rsidP="00C436B9">
            <w:pPr>
              <w:jc w:val="both"/>
              <w:rPr>
                <w:rFonts w:ascii="Bookman Old Style" w:eastAsia="Calibri" w:hAnsi="Bookman Old Style" w:cs="Times New Roman"/>
                <w:sz w:val="20"/>
                <w:szCs w:val="20"/>
              </w:rPr>
            </w:pPr>
          </w:p>
          <w:p w:rsidR="0058304D" w:rsidRDefault="0058304D" w:rsidP="00C436B9">
            <w:pPr>
              <w:jc w:val="both"/>
              <w:rPr>
                <w:rFonts w:ascii="Bookman Old Style" w:eastAsia="Calibri" w:hAnsi="Bookman Old Style" w:cs="Times New Roman"/>
                <w:sz w:val="20"/>
                <w:szCs w:val="20"/>
              </w:rPr>
            </w:pPr>
            <w:r>
              <w:rPr>
                <w:rFonts w:ascii="Bookman Old Style" w:eastAsia="Calibri" w:hAnsi="Bookman Old Style" w:cs="Times New Roman"/>
                <w:sz w:val="20"/>
                <w:szCs w:val="20"/>
              </w:rPr>
              <w:t>X.</w:t>
            </w:r>
          </w:p>
        </w:tc>
        <w:tc>
          <w:tcPr>
            <w:tcW w:w="9990" w:type="dxa"/>
          </w:tcPr>
          <w:p w:rsidR="003C0FFE" w:rsidRPr="005569D7" w:rsidRDefault="003C0FFE" w:rsidP="003C0FFE">
            <w:pPr>
              <w:tabs>
                <w:tab w:val="left" w:pos="2230"/>
              </w:tabs>
              <w:rPr>
                <w:rFonts w:ascii="Bookman Old Style" w:eastAsia="Calibri" w:hAnsi="Bookman Old Style" w:cs="Times New Roman"/>
                <w:sz w:val="20"/>
                <w:szCs w:val="20"/>
              </w:rPr>
            </w:pPr>
            <w:r>
              <w:rPr>
                <w:rFonts w:ascii="Bookman Old Style" w:eastAsia="Calibri" w:hAnsi="Bookman Old Style" w:cs="Times New Roman"/>
                <w:b/>
                <w:sz w:val="20"/>
                <w:szCs w:val="20"/>
              </w:rPr>
              <w:t>120 credit proposal update—</w:t>
            </w:r>
            <w:r w:rsidRPr="005569D7">
              <w:rPr>
                <w:rFonts w:ascii="Bookman Old Style" w:eastAsia="Calibri" w:hAnsi="Bookman Old Style" w:cs="Times New Roman"/>
                <w:sz w:val="20"/>
                <w:szCs w:val="20"/>
              </w:rPr>
              <w:t>many of these came in on time and will be considered in curriculum meetings that begin next week. Please remember that you need to attend multiple meetings or your proposal will be tabled. Thanks to Mary Pat Bigley who has worked with many of you to clean up formats and small errors. Congratulations on getting anything in through our new system. (Take cookies to your department’s submitter!)</w:t>
            </w:r>
          </w:p>
          <w:p w:rsidR="00D8510F" w:rsidRPr="00AE721B" w:rsidRDefault="00D8510F" w:rsidP="003C0FFE">
            <w:pPr>
              <w:tabs>
                <w:tab w:val="left" w:pos="2230"/>
              </w:tabs>
              <w:rPr>
                <w:rFonts w:ascii="Bookman Old Style" w:eastAsia="Calibri" w:hAnsi="Bookman Old Style" w:cs="Times New Roman"/>
                <w:sz w:val="20"/>
                <w:szCs w:val="20"/>
              </w:rPr>
            </w:pPr>
          </w:p>
          <w:p w:rsidR="003C0FFE" w:rsidRDefault="003C0FFE" w:rsidP="003C0FFE">
            <w:pPr>
              <w:tabs>
                <w:tab w:val="left" w:pos="2230"/>
              </w:tabs>
              <w:rPr>
                <w:rFonts w:ascii="Bookman Old Style" w:eastAsia="Calibri" w:hAnsi="Bookman Old Style" w:cs="Times New Roman"/>
                <w:b/>
                <w:sz w:val="20"/>
                <w:szCs w:val="20"/>
              </w:rPr>
            </w:pPr>
          </w:p>
          <w:p w:rsidR="003C0FFE" w:rsidRDefault="003C0FFE" w:rsidP="003C0FFE">
            <w:pPr>
              <w:rPr>
                <w:rFonts w:ascii="Bookman Old Style" w:eastAsia="Calibri" w:hAnsi="Bookman Old Style" w:cs="Times New Roman"/>
                <w:sz w:val="20"/>
                <w:szCs w:val="20"/>
              </w:rPr>
            </w:pPr>
            <w:r>
              <w:rPr>
                <w:rFonts w:ascii="Bookman Old Style" w:eastAsia="Calibri" w:hAnsi="Bookman Old Style" w:cs="Times New Roman"/>
                <w:b/>
                <w:sz w:val="20"/>
                <w:szCs w:val="20"/>
              </w:rPr>
              <w:t>On-line</w:t>
            </w:r>
            <w:r w:rsidRPr="005415B7">
              <w:rPr>
                <w:rFonts w:ascii="Bookman Old Style" w:eastAsia="Calibri" w:hAnsi="Bookman Old Style" w:cs="Times New Roman"/>
                <w:b/>
                <w:sz w:val="20"/>
                <w:szCs w:val="20"/>
              </w:rPr>
              <w:t xml:space="preserve"> survey on the proposed </w:t>
            </w:r>
            <w:r>
              <w:rPr>
                <w:rFonts w:ascii="Bookman Old Style" w:eastAsia="Calibri" w:hAnsi="Bookman Old Style" w:cs="Times New Roman"/>
                <w:b/>
                <w:sz w:val="20"/>
                <w:szCs w:val="20"/>
              </w:rPr>
              <w:t xml:space="preserve">core/high leverage </w:t>
            </w:r>
            <w:r w:rsidRPr="005415B7">
              <w:rPr>
                <w:rFonts w:ascii="Bookman Old Style" w:eastAsia="Calibri" w:hAnsi="Bookman Old Style" w:cs="Times New Roman"/>
                <w:b/>
                <w:sz w:val="20"/>
                <w:szCs w:val="20"/>
              </w:rPr>
              <w:t>program outcomes</w:t>
            </w:r>
            <w:r w:rsidR="005569D7">
              <w:rPr>
                <w:rFonts w:ascii="Bookman Old Style" w:eastAsia="Calibri" w:hAnsi="Bookman Old Style" w:cs="Times New Roman"/>
                <w:b/>
                <w:sz w:val="20"/>
                <w:szCs w:val="20"/>
              </w:rPr>
              <w:t>-</w:t>
            </w:r>
          </w:p>
          <w:p w:rsidR="003C0FFE" w:rsidRPr="005569D7" w:rsidRDefault="005569D7" w:rsidP="003C0FFE">
            <w:pPr>
              <w:rPr>
                <w:rFonts w:ascii="Bookman Old Style" w:eastAsia="Calibri" w:hAnsi="Bookman Old Style" w:cs="Times New Roman"/>
                <w:sz w:val="20"/>
                <w:szCs w:val="20"/>
              </w:rPr>
            </w:pPr>
            <w:r>
              <w:rPr>
                <w:rFonts w:ascii="Bookman Old Style" w:eastAsia="Calibri" w:hAnsi="Bookman Old Style" w:cs="Times New Roman"/>
                <w:sz w:val="20"/>
                <w:szCs w:val="20"/>
              </w:rPr>
              <w:t>We had approximately</w:t>
            </w:r>
            <w:r w:rsidR="003C0FFE" w:rsidRPr="005569D7">
              <w:rPr>
                <w:rFonts w:ascii="Bookman Old Style" w:eastAsia="Calibri" w:hAnsi="Bookman Old Style" w:cs="Times New Roman"/>
                <w:sz w:val="20"/>
                <w:szCs w:val="20"/>
              </w:rPr>
              <w:t xml:space="preserve"> 50 completed surveys--- and 2/3 were from K-12 partners. The HLP subcommittee is reviewing feedback and if all goes as planned will submit an edited set of program outcomes for full CTEC approval in November. </w:t>
            </w:r>
          </w:p>
          <w:p w:rsidR="00D8510F" w:rsidRDefault="00D8510F" w:rsidP="003C0FFE">
            <w:pPr>
              <w:rPr>
                <w:rFonts w:ascii="Bookman Old Style" w:eastAsia="Calibri" w:hAnsi="Bookman Old Style" w:cs="Times New Roman"/>
                <w:sz w:val="20"/>
                <w:szCs w:val="20"/>
              </w:rPr>
            </w:pPr>
          </w:p>
          <w:p w:rsidR="00D8510F" w:rsidRDefault="0058304D" w:rsidP="003C0FFE">
            <w:pPr>
              <w:rPr>
                <w:rFonts w:ascii="Bookman Old Style" w:eastAsia="Calibri" w:hAnsi="Bookman Old Style" w:cs="Times New Roman"/>
                <w:sz w:val="20"/>
                <w:szCs w:val="20"/>
              </w:rPr>
            </w:pPr>
            <w:r>
              <w:rPr>
                <w:rFonts w:ascii="Bookman Old Style" w:eastAsia="Calibri" w:hAnsi="Bookman Old Style" w:cs="Times New Roman"/>
                <w:sz w:val="20"/>
                <w:szCs w:val="20"/>
              </w:rPr>
              <w:t>In a survey to our partners, it was determined that 80-96% of the high level outcomes drafted are deemed important</w:t>
            </w:r>
            <w:r w:rsidR="00F57158">
              <w:rPr>
                <w:rFonts w:ascii="Bookman Old Style" w:eastAsia="Calibri" w:hAnsi="Bookman Old Style" w:cs="Times New Roman"/>
                <w:sz w:val="20"/>
                <w:szCs w:val="20"/>
              </w:rPr>
              <w:t xml:space="preserve"> for all graduates</w:t>
            </w:r>
            <w:r>
              <w:rPr>
                <w:rFonts w:ascii="Bookman Old Style" w:eastAsia="Calibri" w:hAnsi="Bookman Old Style" w:cs="Times New Roman"/>
                <w:sz w:val="20"/>
                <w:szCs w:val="20"/>
              </w:rPr>
              <w:t xml:space="preserve">.  The </w:t>
            </w:r>
            <w:r w:rsidR="00F57158">
              <w:rPr>
                <w:rFonts w:ascii="Bookman Old Style" w:eastAsia="Calibri" w:hAnsi="Bookman Old Style" w:cs="Times New Roman"/>
                <w:sz w:val="20"/>
                <w:szCs w:val="20"/>
              </w:rPr>
              <w:t xml:space="preserve">ad hoc HLP committee is considering suggested edits. </w:t>
            </w:r>
            <w:r>
              <w:rPr>
                <w:rFonts w:ascii="Bookman Old Style" w:eastAsia="Calibri" w:hAnsi="Bookman Old Style" w:cs="Times New Roman"/>
                <w:sz w:val="20"/>
                <w:szCs w:val="20"/>
              </w:rPr>
              <w:t xml:space="preserve">N. Hoffman will send </w:t>
            </w:r>
            <w:r w:rsidR="00F57158">
              <w:rPr>
                <w:rFonts w:ascii="Bookman Old Style" w:eastAsia="Calibri" w:hAnsi="Bookman Old Style" w:cs="Times New Roman"/>
                <w:sz w:val="20"/>
                <w:szCs w:val="20"/>
              </w:rPr>
              <w:t>edited outcomes</w:t>
            </w:r>
            <w:r>
              <w:rPr>
                <w:rFonts w:ascii="Bookman Old Style" w:eastAsia="Calibri" w:hAnsi="Bookman Old Style" w:cs="Times New Roman"/>
                <w:sz w:val="20"/>
                <w:szCs w:val="20"/>
              </w:rPr>
              <w:t xml:space="preserve"> out via email</w:t>
            </w:r>
            <w:r w:rsidR="00F57158">
              <w:rPr>
                <w:rFonts w:ascii="Bookman Old Style" w:eastAsia="Calibri" w:hAnsi="Bookman Old Style" w:cs="Times New Roman"/>
                <w:sz w:val="20"/>
                <w:szCs w:val="20"/>
              </w:rPr>
              <w:t xml:space="preserve"> for members to consider---the goal would be formal CTEC consideration of adoption in our November meeting. These outcomes would drive overall program redesign.</w:t>
            </w:r>
            <w:r>
              <w:rPr>
                <w:rFonts w:ascii="Bookman Old Style" w:eastAsia="Calibri" w:hAnsi="Bookman Old Style" w:cs="Times New Roman"/>
                <w:sz w:val="20"/>
                <w:szCs w:val="20"/>
              </w:rPr>
              <w:t xml:space="preserve">  </w:t>
            </w:r>
          </w:p>
          <w:p w:rsidR="003C0FFE" w:rsidRDefault="003C0FFE" w:rsidP="003C0FFE">
            <w:pPr>
              <w:tabs>
                <w:tab w:val="left" w:pos="2230"/>
              </w:tabs>
              <w:rPr>
                <w:rFonts w:ascii="Bookman Old Style" w:eastAsia="Calibri" w:hAnsi="Bookman Old Style" w:cs="Times New Roman"/>
                <w:b/>
                <w:sz w:val="20"/>
                <w:szCs w:val="20"/>
              </w:rPr>
            </w:pPr>
          </w:p>
          <w:p w:rsidR="003C0FFE" w:rsidRPr="005569D7" w:rsidRDefault="003C0FFE" w:rsidP="003C0FFE">
            <w:pPr>
              <w:tabs>
                <w:tab w:val="left" w:pos="2230"/>
              </w:tabs>
              <w:rPr>
                <w:rFonts w:ascii="Bookman Old Style" w:eastAsia="Calibri" w:hAnsi="Bookman Old Style" w:cs="Times New Roman"/>
                <w:sz w:val="20"/>
                <w:szCs w:val="20"/>
              </w:rPr>
            </w:pPr>
            <w:r>
              <w:rPr>
                <w:rFonts w:ascii="Bookman Old Style" w:eastAsia="Calibri" w:hAnsi="Bookman Old Style" w:cs="Times New Roman"/>
                <w:b/>
                <w:sz w:val="20"/>
                <w:szCs w:val="20"/>
              </w:rPr>
              <w:t xml:space="preserve">Progress through the program ad hoc </w:t>
            </w:r>
            <w:r w:rsidRPr="005569D7">
              <w:rPr>
                <w:rFonts w:ascii="Bookman Old Style" w:eastAsia="Calibri" w:hAnsi="Bookman Old Style" w:cs="Times New Roman"/>
                <w:sz w:val="20"/>
                <w:szCs w:val="20"/>
              </w:rPr>
              <w:t xml:space="preserve">– Several CT Praxis II passing scores were changed since we last met. We are analyzing completer data to see how those changes affect our pass rates. As soon as we have that, </w:t>
            </w:r>
            <w:r w:rsidR="00F57158">
              <w:rPr>
                <w:rFonts w:ascii="Bookman Old Style" w:eastAsia="Calibri" w:hAnsi="Bookman Old Style" w:cs="Times New Roman"/>
                <w:sz w:val="20"/>
                <w:szCs w:val="20"/>
              </w:rPr>
              <w:t>the designated</w:t>
            </w:r>
            <w:r w:rsidRPr="005569D7">
              <w:rPr>
                <w:rFonts w:ascii="Bookman Old Style" w:eastAsia="Calibri" w:hAnsi="Bookman Old Style" w:cs="Times New Roman"/>
                <w:sz w:val="20"/>
                <w:szCs w:val="20"/>
              </w:rPr>
              <w:t xml:space="preserve"> ad hoc group will meet to propose policies on how students are admitted to and progress through our current teacher prep programs for approval by departments, CTEC, and academic standards. </w:t>
            </w:r>
            <w:r w:rsidR="00F57158">
              <w:rPr>
                <w:rFonts w:ascii="Bookman Old Style" w:eastAsia="Calibri" w:hAnsi="Bookman Old Style" w:cs="Times New Roman"/>
                <w:sz w:val="20"/>
                <w:szCs w:val="20"/>
              </w:rPr>
              <w:t>Barring additional changes in regulations, we</w:t>
            </w:r>
            <w:r w:rsidRPr="005569D7">
              <w:rPr>
                <w:rFonts w:ascii="Bookman Old Style" w:eastAsia="Calibri" w:hAnsi="Bookman Old Style" w:cs="Times New Roman"/>
                <w:sz w:val="20"/>
                <w:szCs w:val="20"/>
              </w:rPr>
              <w:t xml:space="preserve"> still anticipate the work will be completed </w:t>
            </w:r>
            <w:r w:rsidR="00F57158">
              <w:rPr>
                <w:rFonts w:ascii="Bookman Old Style" w:eastAsia="Calibri" w:hAnsi="Bookman Old Style" w:cs="Times New Roman"/>
                <w:sz w:val="20"/>
                <w:szCs w:val="20"/>
              </w:rPr>
              <w:t xml:space="preserve">for our consideration </w:t>
            </w:r>
            <w:proofErr w:type="gramStart"/>
            <w:r w:rsidR="00F57158">
              <w:rPr>
                <w:rFonts w:ascii="Bookman Old Style" w:eastAsia="Calibri" w:hAnsi="Bookman Old Style" w:cs="Times New Roman"/>
                <w:sz w:val="20"/>
                <w:szCs w:val="20"/>
              </w:rPr>
              <w:t xml:space="preserve">in </w:t>
            </w:r>
            <w:r w:rsidRPr="005569D7">
              <w:rPr>
                <w:rFonts w:ascii="Bookman Old Style" w:eastAsia="Calibri" w:hAnsi="Bookman Old Style" w:cs="Times New Roman"/>
                <w:sz w:val="20"/>
                <w:szCs w:val="20"/>
              </w:rPr>
              <w:t xml:space="preserve"> November</w:t>
            </w:r>
            <w:proofErr w:type="gramEnd"/>
            <w:r w:rsidRPr="005569D7">
              <w:rPr>
                <w:rFonts w:ascii="Bookman Old Style" w:eastAsia="Calibri" w:hAnsi="Bookman Old Style" w:cs="Times New Roman"/>
                <w:sz w:val="20"/>
                <w:szCs w:val="20"/>
              </w:rPr>
              <w:t xml:space="preserve"> 2106. </w:t>
            </w:r>
          </w:p>
          <w:p w:rsidR="003C0FFE" w:rsidRDefault="003C0FFE" w:rsidP="003C0FFE">
            <w:pPr>
              <w:contextualSpacing/>
              <w:rPr>
                <w:rFonts w:ascii="Bookman Old Style" w:eastAsia="Calibri" w:hAnsi="Bookman Old Style" w:cs="Times New Roman"/>
                <w:sz w:val="20"/>
                <w:szCs w:val="20"/>
              </w:rPr>
            </w:pPr>
          </w:p>
          <w:p w:rsidR="0058304D" w:rsidRDefault="00F57158" w:rsidP="003C0FFE">
            <w:pPr>
              <w:contextualSpacing/>
              <w:rPr>
                <w:rFonts w:ascii="Bookman Old Style" w:eastAsia="Calibri" w:hAnsi="Bookman Old Style" w:cs="Times New Roman"/>
                <w:sz w:val="20"/>
                <w:szCs w:val="20"/>
              </w:rPr>
            </w:pPr>
            <w:r>
              <w:rPr>
                <w:rFonts w:ascii="Bookman Old Style" w:eastAsia="Calibri" w:hAnsi="Bookman Old Style" w:cs="Times New Roman"/>
                <w:sz w:val="20"/>
                <w:szCs w:val="20"/>
              </w:rPr>
              <w:t>Data on scores of 2014-2016 program completers indicate that</w:t>
            </w:r>
            <w:r w:rsidR="0058304D">
              <w:rPr>
                <w:rFonts w:ascii="Bookman Old Style" w:eastAsia="Calibri" w:hAnsi="Bookman Old Style" w:cs="Times New Roman"/>
                <w:sz w:val="20"/>
                <w:szCs w:val="20"/>
              </w:rPr>
              <w:t xml:space="preserve"> 55% </w:t>
            </w:r>
            <w:r>
              <w:rPr>
                <w:rFonts w:ascii="Bookman Old Style" w:eastAsia="Calibri" w:hAnsi="Bookman Old Style" w:cs="Times New Roman"/>
                <w:sz w:val="20"/>
                <w:szCs w:val="20"/>
              </w:rPr>
              <w:t xml:space="preserve">of the failing Praxis II scores that completers </w:t>
            </w:r>
            <w:proofErr w:type="gramStart"/>
            <w:r>
              <w:rPr>
                <w:rFonts w:ascii="Bookman Old Style" w:eastAsia="Calibri" w:hAnsi="Bookman Old Style" w:cs="Times New Roman"/>
                <w:sz w:val="20"/>
                <w:szCs w:val="20"/>
              </w:rPr>
              <w:t xml:space="preserve">submitted  </w:t>
            </w:r>
            <w:r w:rsidR="0058304D">
              <w:rPr>
                <w:rFonts w:ascii="Bookman Old Style" w:eastAsia="Calibri" w:hAnsi="Bookman Old Style" w:cs="Times New Roman"/>
                <w:sz w:val="20"/>
                <w:szCs w:val="20"/>
              </w:rPr>
              <w:t>would</w:t>
            </w:r>
            <w:proofErr w:type="gramEnd"/>
            <w:r w:rsidR="0058304D">
              <w:rPr>
                <w:rFonts w:ascii="Bookman Old Style" w:eastAsia="Calibri" w:hAnsi="Bookman Old Style" w:cs="Times New Roman"/>
                <w:sz w:val="20"/>
                <w:szCs w:val="20"/>
              </w:rPr>
              <w:t xml:space="preserve"> now be passing scores.  Consideration about requiring Praxis II earlier in the program is likely.</w:t>
            </w:r>
          </w:p>
          <w:p w:rsidR="00D8510F" w:rsidRDefault="00D8510F" w:rsidP="003C0FFE">
            <w:pPr>
              <w:contextualSpacing/>
              <w:rPr>
                <w:rFonts w:ascii="Bookman Old Style" w:eastAsia="Calibri" w:hAnsi="Bookman Old Style" w:cs="Times New Roman"/>
                <w:sz w:val="20"/>
                <w:szCs w:val="20"/>
              </w:rPr>
            </w:pPr>
          </w:p>
          <w:p w:rsidR="003C0FFE" w:rsidRDefault="003C0FFE" w:rsidP="003C0FFE">
            <w:pPr>
              <w:contextualSpacing/>
              <w:rPr>
                <w:rFonts w:ascii="Bookman Old Style" w:eastAsia="Calibri" w:hAnsi="Bookman Old Style" w:cs="Times New Roman"/>
                <w:sz w:val="20"/>
                <w:szCs w:val="20"/>
              </w:rPr>
            </w:pPr>
            <w:r w:rsidRPr="008616D7">
              <w:rPr>
                <w:rFonts w:ascii="Bookman Old Style" w:eastAsia="Calibri" w:hAnsi="Bookman Old Style" w:cs="Times New Roman"/>
                <w:b/>
                <w:sz w:val="20"/>
                <w:szCs w:val="20"/>
              </w:rPr>
              <w:t>CTEC meeting minutes</w:t>
            </w:r>
            <w:r w:rsidRPr="008616D7">
              <w:rPr>
                <w:rFonts w:ascii="Bookman Old Style" w:eastAsia="Calibri" w:hAnsi="Bookman Old Style" w:cs="Times New Roman"/>
                <w:sz w:val="20"/>
                <w:szCs w:val="20"/>
              </w:rPr>
              <w:t>—</w:t>
            </w:r>
            <w:r>
              <w:rPr>
                <w:rFonts w:ascii="Bookman Old Style" w:eastAsia="Calibri" w:hAnsi="Bookman Old Style" w:cs="Times New Roman"/>
                <w:sz w:val="20"/>
                <w:szCs w:val="20"/>
              </w:rPr>
              <w:t>approval of September minutes</w:t>
            </w:r>
          </w:p>
          <w:p w:rsidR="003C0FFE" w:rsidRPr="00F57158" w:rsidRDefault="0058304D" w:rsidP="00F57158">
            <w:pPr>
              <w:contextualSpacing/>
              <w:rPr>
                <w:rFonts w:ascii="Bookman Old Style" w:eastAsia="Calibri" w:hAnsi="Bookman Old Style" w:cs="Times New Roman"/>
                <w:sz w:val="20"/>
                <w:szCs w:val="20"/>
              </w:rPr>
            </w:pPr>
            <w:r>
              <w:rPr>
                <w:rFonts w:ascii="Bookman Old Style" w:eastAsia="Calibri" w:hAnsi="Bookman Old Style" w:cs="Times New Roman"/>
                <w:sz w:val="20"/>
                <w:szCs w:val="20"/>
              </w:rPr>
              <w:t>Approved</w:t>
            </w:r>
          </w:p>
        </w:tc>
        <w:tc>
          <w:tcPr>
            <w:tcW w:w="270" w:type="dxa"/>
          </w:tcPr>
          <w:p w:rsidR="003C0FFE" w:rsidRDefault="003C0FFE" w:rsidP="00B07E3A">
            <w:pPr>
              <w:jc w:val="both"/>
              <w:rPr>
                <w:rFonts w:ascii="Bookman Old Style" w:eastAsia="Calibri" w:hAnsi="Bookman Old Style" w:cs="Times New Roman"/>
                <w:sz w:val="20"/>
                <w:szCs w:val="20"/>
              </w:rPr>
            </w:pPr>
          </w:p>
        </w:tc>
      </w:tr>
      <w:tr w:rsidR="009C5CC9" w:rsidRPr="00EB3CC1" w:rsidTr="00F57158">
        <w:trPr>
          <w:trHeight w:val="620"/>
        </w:trPr>
        <w:tc>
          <w:tcPr>
            <w:tcW w:w="630" w:type="dxa"/>
          </w:tcPr>
          <w:p w:rsidR="009C5CC9" w:rsidRDefault="00E12FC0" w:rsidP="0058304D">
            <w:pPr>
              <w:jc w:val="both"/>
              <w:rPr>
                <w:rFonts w:ascii="Bookman Old Style" w:eastAsia="Calibri" w:hAnsi="Bookman Old Style" w:cs="Times New Roman"/>
                <w:sz w:val="20"/>
                <w:szCs w:val="20"/>
              </w:rPr>
            </w:pPr>
            <w:r>
              <w:rPr>
                <w:rFonts w:ascii="Bookman Old Style" w:eastAsia="Calibri" w:hAnsi="Bookman Old Style" w:cs="Times New Roman"/>
                <w:sz w:val="20"/>
                <w:szCs w:val="20"/>
              </w:rPr>
              <w:t>X</w:t>
            </w:r>
            <w:r w:rsidR="00F57158">
              <w:rPr>
                <w:rFonts w:ascii="Bookman Old Style" w:eastAsia="Calibri" w:hAnsi="Bookman Old Style" w:cs="Times New Roman"/>
                <w:sz w:val="20"/>
                <w:szCs w:val="20"/>
              </w:rPr>
              <w:t>I.</w:t>
            </w:r>
          </w:p>
        </w:tc>
        <w:tc>
          <w:tcPr>
            <w:tcW w:w="9990" w:type="dxa"/>
          </w:tcPr>
          <w:p w:rsidR="00C5020A" w:rsidRDefault="00C5020A" w:rsidP="00C5020A">
            <w:pPr>
              <w:tabs>
                <w:tab w:val="left" w:pos="2230"/>
              </w:tabs>
              <w:rPr>
                <w:rFonts w:ascii="Bookman Old Style" w:eastAsia="Calibri" w:hAnsi="Bookman Old Style" w:cs="Times New Roman"/>
                <w:b/>
                <w:sz w:val="20"/>
                <w:szCs w:val="20"/>
              </w:rPr>
            </w:pPr>
            <w:r>
              <w:rPr>
                <w:rFonts w:ascii="Bookman Old Style" w:eastAsia="Calibri" w:hAnsi="Bookman Old Style" w:cs="Times New Roman"/>
                <w:b/>
                <w:sz w:val="20"/>
                <w:szCs w:val="20"/>
              </w:rPr>
              <w:t>Curriculum</w:t>
            </w:r>
            <w:r w:rsidRPr="008A0E5B">
              <w:rPr>
                <w:rFonts w:ascii="Bookman Old Style" w:eastAsia="Calibri" w:hAnsi="Bookman Old Style" w:cs="Times New Roman"/>
                <w:b/>
                <w:sz w:val="20"/>
                <w:szCs w:val="20"/>
              </w:rPr>
              <w:t xml:space="preserve"> Subcommittee report</w:t>
            </w:r>
            <w:r>
              <w:rPr>
                <w:rFonts w:ascii="Bookman Old Style" w:eastAsia="Calibri" w:hAnsi="Bookman Old Style" w:cs="Times New Roman"/>
                <w:b/>
                <w:sz w:val="20"/>
                <w:szCs w:val="20"/>
              </w:rPr>
              <w:t xml:space="preserve"> </w:t>
            </w:r>
          </w:p>
          <w:p w:rsidR="00C436B9" w:rsidRDefault="003C0FFE" w:rsidP="00C5020A">
            <w:pPr>
              <w:contextualSpacing/>
              <w:rPr>
                <w:rFonts w:ascii="Bookman Old Style" w:eastAsia="Calibri" w:hAnsi="Bookman Old Style" w:cs="Times New Roman"/>
                <w:sz w:val="20"/>
                <w:szCs w:val="20"/>
              </w:rPr>
            </w:pPr>
            <w:r>
              <w:rPr>
                <w:rFonts w:ascii="Bookman Old Style" w:eastAsia="Calibri" w:hAnsi="Bookman Old Style" w:cs="Times New Roman"/>
                <w:sz w:val="20"/>
                <w:szCs w:val="20"/>
              </w:rPr>
              <w:t>Need a member to fill in for content area sabbatical folks this year!</w:t>
            </w:r>
          </w:p>
          <w:p w:rsidR="009C5CC9" w:rsidRPr="009C5CC9" w:rsidRDefault="009C5CC9" w:rsidP="00F57158">
            <w:pPr>
              <w:contextualSpacing/>
              <w:rPr>
                <w:rFonts w:ascii="Bookman Old Style" w:eastAsia="Calibri" w:hAnsi="Bookman Old Style" w:cs="Times New Roman"/>
                <w:sz w:val="20"/>
                <w:szCs w:val="20"/>
              </w:rPr>
            </w:pPr>
          </w:p>
        </w:tc>
        <w:tc>
          <w:tcPr>
            <w:tcW w:w="270" w:type="dxa"/>
          </w:tcPr>
          <w:p w:rsidR="009C5CC9" w:rsidRDefault="009C5CC9" w:rsidP="00B07E3A">
            <w:pPr>
              <w:jc w:val="both"/>
              <w:rPr>
                <w:rFonts w:ascii="Bookman Old Style" w:eastAsia="Calibri" w:hAnsi="Bookman Old Style" w:cs="Times New Roman"/>
                <w:sz w:val="20"/>
                <w:szCs w:val="20"/>
              </w:rPr>
            </w:pPr>
          </w:p>
        </w:tc>
      </w:tr>
    </w:tbl>
    <w:p w:rsidR="005262FB" w:rsidRDefault="005262FB">
      <w:r>
        <w:br w:type="page"/>
      </w:r>
    </w:p>
    <w:tbl>
      <w:tblPr>
        <w:tblStyle w:val="TableGrid1"/>
        <w:tblW w:w="10890" w:type="dxa"/>
        <w:tblInd w:w="-185" w:type="dxa"/>
        <w:tblLayout w:type="fixed"/>
        <w:tblLook w:val="04A0" w:firstRow="1" w:lastRow="0" w:firstColumn="1" w:lastColumn="0" w:noHBand="0" w:noVBand="1"/>
      </w:tblPr>
      <w:tblGrid>
        <w:gridCol w:w="720"/>
        <w:gridCol w:w="9900"/>
        <w:gridCol w:w="270"/>
      </w:tblGrid>
      <w:tr w:rsidR="005A17C3" w:rsidRPr="00EB3CC1" w:rsidTr="00F57158">
        <w:trPr>
          <w:trHeight w:val="3050"/>
        </w:trPr>
        <w:tc>
          <w:tcPr>
            <w:tcW w:w="720" w:type="dxa"/>
          </w:tcPr>
          <w:p w:rsidR="005A17C3" w:rsidRDefault="00E12FC0" w:rsidP="007A40B4">
            <w:pPr>
              <w:jc w:val="both"/>
              <w:rPr>
                <w:rFonts w:ascii="Bookman Old Style" w:eastAsia="Calibri" w:hAnsi="Bookman Old Style" w:cs="Times New Roman"/>
                <w:sz w:val="20"/>
                <w:szCs w:val="20"/>
              </w:rPr>
            </w:pPr>
            <w:r>
              <w:rPr>
                <w:rFonts w:ascii="Bookman Old Style" w:eastAsia="Calibri" w:hAnsi="Bookman Old Style" w:cs="Times New Roman"/>
                <w:sz w:val="20"/>
                <w:szCs w:val="20"/>
              </w:rPr>
              <w:lastRenderedPageBreak/>
              <w:t>XII.</w:t>
            </w:r>
          </w:p>
          <w:p w:rsidR="00D8510F" w:rsidRDefault="00D8510F" w:rsidP="007A40B4">
            <w:pPr>
              <w:jc w:val="both"/>
              <w:rPr>
                <w:rFonts w:ascii="Bookman Old Style" w:eastAsia="Calibri" w:hAnsi="Bookman Old Style" w:cs="Times New Roman"/>
                <w:sz w:val="20"/>
                <w:szCs w:val="20"/>
              </w:rPr>
            </w:pPr>
          </w:p>
          <w:p w:rsidR="00D8510F" w:rsidRDefault="00D8510F" w:rsidP="007A40B4">
            <w:pPr>
              <w:jc w:val="both"/>
              <w:rPr>
                <w:rFonts w:ascii="Bookman Old Style" w:eastAsia="Calibri" w:hAnsi="Bookman Old Style" w:cs="Times New Roman"/>
                <w:sz w:val="20"/>
                <w:szCs w:val="20"/>
              </w:rPr>
            </w:pPr>
          </w:p>
          <w:p w:rsidR="00D8510F" w:rsidRDefault="00D8510F" w:rsidP="007A40B4">
            <w:pPr>
              <w:jc w:val="both"/>
              <w:rPr>
                <w:rFonts w:ascii="Bookman Old Style" w:eastAsia="Calibri" w:hAnsi="Bookman Old Style" w:cs="Times New Roman"/>
                <w:sz w:val="20"/>
                <w:szCs w:val="20"/>
              </w:rPr>
            </w:pPr>
          </w:p>
          <w:p w:rsidR="00E12FC0" w:rsidRDefault="00E12FC0" w:rsidP="007A40B4">
            <w:pPr>
              <w:jc w:val="both"/>
              <w:rPr>
                <w:rFonts w:ascii="Bookman Old Style" w:eastAsia="Calibri" w:hAnsi="Bookman Old Style" w:cs="Times New Roman"/>
                <w:sz w:val="20"/>
                <w:szCs w:val="20"/>
              </w:rPr>
            </w:pPr>
          </w:p>
          <w:p w:rsidR="00E12FC0" w:rsidRPr="00EB3CC1" w:rsidRDefault="00E12FC0" w:rsidP="007A40B4">
            <w:pPr>
              <w:jc w:val="both"/>
              <w:rPr>
                <w:rFonts w:ascii="Bookman Old Style" w:eastAsia="Calibri" w:hAnsi="Bookman Old Style" w:cs="Times New Roman"/>
                <w:sz w:val="20"/>
                <w:szCs w:val="20"/>
              </w:rPr>
            </w:pPr>
            <w:r>
              <w:rPr>
                <w:rFonts w:ascii="Bookman Old Style" w:eastAsia="Calibri" w:hAnsi="Bookman Old Style" w:cs="Times New Roman"/>
                <w:sz w:val="20"/>
                <w:szCs w:val="20"/>
              </w:rPr>
              <w:t>XIII.</w:t>
            </w:r>
          </w:p>
        </w:tc>
        <w:tc>
          <w:tcPr>
            <w:tcW w:w="9900" w:type="dxa"/>
          </w:tcPr>
          <w:p w:rsidR="005A17C3" w:rsidRDefault="005A17C3" w:rsidP="007A40B4">
            <w:pPr>
              <w:tabs>
                <w:tab w:val="left" w:pos="2230"/>
              </w:tabs>
              <w:rPr>
                <w:rFonts w:ascii="Bookman Old Style" w:eastAsia="Calibri" w:hAnsi="Bookman Old Style" w:cs="Times New Roman"/>
                <w:b/>
                <w:sz w:val="20"/>
                <w:szCs w:val="20"/>
              </w:rPr>
            </w:pPr>
            <w:r w:rsidRPr="008733B3">
              <w:rPr>
                <w:rFonts w:ascii="Bookman Old Style" w:eastAsia="Calibri" w:hAnsi="Bookman Old Style" w:cs="Times New Roman"/>
                <w:b/>
                <w:sz w:val="20"/>
                <w:szCs w:val="20"/>
              </w:rPr>
              <w:t>Coming Attractions</w:t>
            </w:r>
          </w:p>
          <w:p w:rsidR="00BD4DEC" w:rsidRDefault="008616D7" w:rsidP="00BD4DEC">
            <w:pPr>
              <w:tabs>
                <w:tab w:val="left" w:pos="2230"/>
              </w:tabs>
              <w:rPr>
                <w:rFonts w:ascii="Bookman Old Style" w:eastAsia="Calibri" w:hAnsi="Bookman Old Style" w:cs="Times New Roman"/>
                <w:sz w:val="20"/>
                <w:szCs w:val="20"/>
              </w:rPr>
            </w:pPr>
            <w:r w:rsidRPr="008616D7">
              <w:rPr>
                <w:rFonts w:ascii="Bookman Old Style" w:eastAsia="Calibri" w:hAnsi="Bookman Old Style" w:cs="Times New Roman"/>
                <w:sz w:val="20"/>
                <w:szCs w:val="20"/>
              </w:rPr>
              <w:t>Please remind your curriculum and academic</w:t>
            </w:r>
            <w:r w:rsidR="00F57158">
              <w:rPr>
                <w:rFonts w:ascii="Bookman Old Style" w:eastAsia="Calibri" w:hAnsi="Bookman Old Style" w:cs="Times New Roman"/>
                <w:sz w:val="20"/>
                <w:szCs w:val="20"/>
              </w:rPr>
              <w:t xml:space="preserve"> standards representatives and</w:t>
            </w:r>
            <w:r w:rsidRPr="008616D7">
              <w:rPr>
                <w:rFonts w:ascii="Bookman Old Style" w:eastAsia="Calibri" w:hAnsi="Bookman Old Style" w:cs="Times New Roman"/>
                <w:sz w:val="20"/>
                <w:szCs w:val="20"/>
              </w:rPr>
              <w:t xml:space="preserve"> your senators to support 120 credit proposals and the retention and appeals policies moving through committees and then the senate.</w:t>
            </w:r>
          </w:p>
          <w:p w:rsidR="008157BC" w:rsidRPr="002F2603" w:rsidRDefault="008157BC" w:rsidP="007A40B4">
            <w:pPr>
              <w:tabs>
                <w:tab w:val="left" w:pos="2230"/>
              </w:tabs>
              <w:rPr>
                <w:rFonts w:ascii="Bookman Old Style" w:eastAsia="Calibri" w:hAnsi="Bookman Old Style" w:cs="Times New Roman"/>
                <w:sz w:val="20"/>
                <w:szCs w:val="20"/>
              </w:rPr>
            </w:pPr>
          </w:p>
          <w:p w:rsidR="008616D7" w:rsidRDefault="00E12FC0" w:rsidP="007A40B4">
            <w:pPr>
              <w:tabs>
                <w:tab w:val="left" w:pos="2230"/>
              </w:tabs>
              <w:rPr>
                <w:rFonts w:ascii="Bookman Old Style" w:eastAsia="Calibri" w:hAnsi="Bookman Old Style" w:cs="Times New Roman"/>
                <w:b/>
                <w:sz w:val="20"/>
                <w:szCs w:val="20"/>
              </w:rPr>
            </w:pPr>
            <w:r>
              <w:rPr>
                <w:rFonts w:ascii="Bookman Old Style" w:eastAsia="Calibri" w:hAnsi="Bookman Old Style" w:cs="Times New Roman"/>
                <w:b/>
                <w:sz w:val="20"/>
                <w:szCs w:val="20"/>
              </w:rPr>
              <w:t xml:space="preserve">Future </w:t>
            </w:r>
            <w:r w:rsidR="008157BC" w:rsidRPr="008157BC">
              <w:rPr>
                <w:rFonts w:ascii="Bookman Old Style" w:eastAsia="Calibri" w:hAnsi="Bookman Old Style" w:cs="Times New Roman"/>
                <w:b/>
                <w:sz w:val="20"/>
                <w:szCs w:val="20"/>
              </w:rPr>
              <w:t>CTEC meetings for 2016 – 2017 academic year</w:t>
            </w:r>
            <w:r w:rsidR="00750DB5">
              <w:rPr>
                <w:rFonts w:ascii="Bookman Old Style" w:eastAsia="Calibri" w:hAnsi="Bookman Old Style" w:cs="Times New Roman"/>
                <w:b/>
                <w:sz w:val="20"/>
                <w:szCs w:val="20"/>
              </w:rPr>
              <w:t xml:space="preserve"> </w:t>
            </w:r>
          </w:p>
          <w:p w:rsidR="00750DB5" w:rsidRDefault="00750DB5" w:rsidP="007A40B4">
            <w:pPr>
              <w:tabs>
                <w:tab w:val="left" w:pos="2230"/>
              </w:tabs>
              <w:rPr>
                <w:rFonts w:ascii="Bookman Old Style" w:eastAsia="Calibri" w:hAnsi="Bookman Old Style" w:cs="Times New Roman"/>
                <w:sz w:val="20"/>
                <w:szCs w:val="20"/>
              </w:rPr>
            </w:pPr>
            <w:r>
              <w:rPr>
                <w:rFonts w:ascii="Bookman Old Style" w:eastAsia="Calibri" w:hAnsi="Bookman Old Style" w:cs="Times New Roman"/>
                <w:sz w:val="20"/>
                <w:szCs w:val="20"/>
              </w:rPr>
              <w:t>November 17</w:t>
            </w:r>
            <w:r w:rsidRPr="00750DB5">
              <w:rPr>
                <w:rFonts w:ascii="Bookman Old Style" w:eastAsia="Calibri" w:hAnsi="Bookman Old Style" w:cs="Times New Roman"/>
                <w:sz w:val="20"/>
                <w:szCs w:val="20"/>
              </w:rPr>
              <w:t>, 3:15 – 5:00, Student Center, 1849 Room</w:t>
            </w:r>
          </w:p>
          <w:p w:rsidR="00750DB5" w:rsidRDefault="00750DB5" w:rsidP="007A40B4">
            <w:pPr>
              <w:tabs>
                <w:tab w:val="left" w:pos="2230"/>
              </w:tabs>
              <w:rPr>
                <w:rFonts w:ascii="Bookman Old Style" w:eastAsia="Calibri" w:hAnsi="Bookman Old Style" w:cs="Times New Roman"/>
                <w:sz w:val="20"/>
                <w:szCs w:val="20"/>
              </w:rPr>
            </w:pPr>
            <w:r>
              <w:rPr>
                <w:rFonts w:ascii="Bookman Old Style" w:eastAsia="Calibri" w:hAnsi="Bookman Old Style" w:cs="Times New Roman"/>
                <w:sz w:val="20"/>
                <w:szCs w:val="20"/>
              </w:rPr>
              <w:t>December 8</w:t>
            </w:r>
            <w:r w:rsidRPr="00750DB5">
              <w:rPr>
                <w:rFonts w:ascii="Bookman Old Style" w:eastAsia="Calibri" w:hAnsi="Bookman Old Style" w:cs="Times New Roman"/>
                <w:sz w:val="20"/>
                <w:szCs w:val="20"/>
              </w:rPr>
              <w:t>, 3:15 – 5:00, Student Center, 1849 Room</w:t>
            </w:r>
          </w:p>
          <w:p w:rsidR="00750DB5" w:rsidRDefault="00750DB5" w:rsidP="007A40B4">
            <w:pPr>
              <w:tabs>
                <w:tab w:val="left" w:pos="2230"/>
              </w:tabs>
              <w:rPr>
                <w:rFonts w:ascii="Bookman Old Style" w:eastAsia="Calibri" w:hAnsi="Bookman Old Style" w:cs="Times New Roman"/>
                <w:sz w:val="20"/>
                <w:szCs w:val="20"/>
              </w:rPr>
            </w:pPr>
            <w:r>
              <w:rPr>
                <w:rFonts w:ascii="Bookman Old Style" w:eastAsia="Calibri" w:hAnsi="Bookman Old Style" w:cs="Times New Roman"/>
                <w:sz w:val="20"/>
                <w:szCs w:val="20"/>
              </w:rPr>
              <w:t>February 9</w:t>
            </w:r>
            <w:r w:rsidRPr="00750DB5">
              <w:rPr>
                <w:rFonts w:ascii="Bookman Old Style" w:eastAsia="Calibri" w:hAnsi="Bookman Old Style" w:cs="Times New Roman"/>
                <w:sz w:val="20"/>
                <w:szCs w:val="20"/>
              </w:rPr>
              <w:t>, 3:15 – 5:00, Student Center, 1849 Room</w:t>
            </w:r>
          </w:p>
          <w:p w:rsidR="00750DB5" w:rsidRDefault="00750DB5" w:rsidP="007A40B4">
            <w:pPr>
              <w:tabs>
                <w:tab w:val="left" w:pos="2230"/>
              </w:tabs>
              <w:rPr>
                <w:rFonts w:ascii="Bookman Old Style" w:eastAsia="Calibri" w:hAnsi="Bookman Old Style" w:cs="Times New Roman"/>
                <w:sz w:val="20"/>
                <w:szCs w:val="20"/>
              </w:rPr>
            </w:pPr>
            <w:r>
              <w:rPr>
                <w:rFonts w:ascii="Bookman Old Style" w:eastAsia="Calibri" w:hAnsi="Bookman Old Style" w:cs="Times New Roman"/>
                <w:sz w:val="20"/>
                <w:szCs w:val="20"/>
              </w:rPr>
              <w:t>March 9</w:t>
            </w:r>
            <w:r w:rsidRPr="00750DB5">
              <w:rPr>
                <w:rFonts w:ascii="Bookman Old Style" w:eastAsia="Calibri" w:hAnsi="Bookman Old Style" w:cs="Times New Roman"/>
                <w:sz w:val="20"/>
                <w:szCs w:val="20"/>
              </w:rPr>
              <w:t>, 3:15 – 5:00, Student Center, 1849 Room</w:t>
            </w:r>
          </w:p>
          <w:p w:rsidR="00750DB5" w:rsidRDefault="00750DB5" w:rsidP="007A40B4">
            <w:pPr>
              <w:tabs>
                <w:tab w:val="left" w:pos="2230"/>
              </w:tabs>
            </w:pPr>
            <w:r>
              <w:rPr>
                <w:rFonts w:ascii="Bookman Old Style" w:eastAsia="Calibri" w:hAnsi="Bookman Old Style" w:cs="Times New Roman"/>
                <w:sz w:val="20"/>
                <w:szCs w:val="20"/>
              </w:rPr>
              <w:t>April 6</w:t>
            </w:r>
            <w:r w:rsidRPr="00750DB5">
              <w:rPr>
                <w:rFonts w:ascii="Bookman Old Style" w:eastAsia="Calibri" w:hAnsi="Bookman Old Style" w:cs="Times New Roman"/>
                <w:sz w:val="20"/>
                <w:szCs w:val="20"/>
              </w:rPr>
              <w:t>, 3:15 – 5:00, Student Center, 1849 Room</w:t>
            </w:r>
            <w:r>
              <w:t xml:space="preserve"> </w:t>
            </w:r>
          </w:p>
          <w:p w:rsidR="00B85A90" w:rsidRPr="00EB3CC1" w:rsidRDefault="00750DB5" w:rsidP="008157BC">
            <w:pPr>
              <w:tabs>
                <w:tab w:val="left" w:pos="2230"/>
              </w:tabs>
              <w:rPr>
                <w:rFonts w:ascii="Bookman Old Style" w:eastAsia="Calibri" w:hAnsi="Bookman Old Style" w:cs="Times New Roman"/>
                <w:sz w:val="20"/>
                <w:szCs w:val="20"/>
              </w:rPr>
            </w:pPr>
            <w:r>
              <w:rPr>
                <w:rFonts w:ascii="Bookman Old Style" w:eastAsia="Calibri" w:hAnsi="Bookman Old Style" w:cs="Times New Roman"/>
                <w:sz w:val="20"/>
                <w:szCs w:val="20"/>
              </w:rPr>
              <w:t>May 4</w:t>
            </w:r>
            <w:r w:rsidRPr="00750DB5">
              <w:rPr>
                <w:rFonts w:ascii="Bookman Old Style" w:eastAsia="Calibri" w:hAnsi="Bookman Old Style" w:cs="Times New Roman"/>
                <w:sz w:val="20"/>
                <w:szCs w:val="20"/>
              </w:rPr>
              <w:t>, 3:15 –</w:t>
            </w:r>
            <w:r w:rsidR="00F57158">
              <w:rPr>
                <w:rFonts w:ascii="Bookman Old Style" w:eastAsia="Calibri" w:hAnsi="Bookman Old Style" w:cs="Times New Roman"/>
                <w:sz w:val="20"/>
                <w:szCs w:val="20"/>
              </w:rPr>
              <w:t xml:space="preserve"> 5:00, Student Center, 1849 Room</w:t>
            </w:r>
          </w:p>
        </w:tc>
        <w:tc>
          <w:tcPr>
            <w:tcW w:w="270" w:type="dxa"/>
          </w:tcPr>
          <w:p w:rsidR="005A17C3" w:rsidRPr="00EB3CC1" w:rsidRDefault="005A17C3" w:rsidP="007A40B4">
            <w:pPr>
              <w:rPr>
                <w:rFonts w:ascii="Bookman Old Style" w:eastAsia="Calibri" w:hAnsi="Bookman Old Style" w:cs="Times New Roman"/>
                <w:sz w:val="20"/>
                <w:szCs w:val="20"/>
              </w:rPr>
            </w:pPr>
          </w:p>
        </w:tc>
      </w:tr>
      <w:tr w:rsidR="005A17C3" w:rsidRPr="00EB3CC1" w:rsidTr="00E12FC0">
        <w:tc>
          <w:tcPr>
            <w:tcW w:w="720" w:type="dxa"/>
          </w:tcPr>
          <w:p w:rsidR="005A17C3" w:rsidRPr="00EB3CC1" w:rsidRDefault="005A17C3" w:rsidP="007A40B4">
            <w:pPr>
              <w:jc w:val="both"/>
              <w:rPr>
                <w:rFonts w:ascii="Bookman Old Style" w:eastAsia="Calibri" w:hAnsi="Bookman Old Style" w:cs="Times New Roman"/>
                <w:b/>
                <w:sz w:val="20"/>
                <w:szCs w:val="20"/>
              </w:rPr>
            </w:pPr>
          </w:p>
        </w:tc>
        <w:tc>
          <w:tcPr>
            <w:tcW w:w="9900" w:type="dxa"/>
          </w:tcPr>
          <w:p w:rsidR="005A17C3" w:rsidRPr="00BD4DEC" w:rsidRDefault="00E12FC0" w:rsidP="007A40B4">
            <w:pPr>
              <w:rPr>
                <w:rFonts w:ascii="Bookman Old Style" w:eastAsia="Calibri" w:hAnsi="Bookman Old Style" w:cs="Times New Roman"/>
                <w:b/>
                <w:sz w:val="18"/>
                <w:szCs w:val="18"/>
              </w:rPr>
            </w:pPr>
            <w:r>
              <w:rPr>
                <w:rFonts w:ascii="Bookman Old Style" w:eastAsia="Calibri" w:hAnsi="Bookman Old Style" w:cs="Times New Roman"/>
                <w:b/>
                <w:sz w:val="18"/>
                <w:szCs w:val="18"/>
              </w:rPr>
              <w:t>CTEC Goals</w:t>
            </w:r>
          </w:p>
          <w:p w:rsidR="00F8483B" w:rsidRDefault="00F8483B" w:rsidP="00C525E6">
            <w:pPr>
              <w:pStyle w:val="ListParagraph"/>
              <w:numPr>
                <w:ilvl w:val="0"/>
                <w:numId w:val="18"/>
              </w:numPr>
              <w:rPr>
                <w:rFonts w:ascii="Bookman Old Style" w:eastAsia="Calibri" w:hAnsi="Bookman Old Style" w:cs="Times New Roman"/>
                <w:sz w:val="18"/>
                <w:szCs w:val="18"/>
              </w:rPr>
            </w:pPr>
            <w:r w:rsidRPr="00F8483B">
              <w:rPr>
                <w:rFonts w:ascii="Bookman Old Style" w:eastAsia="Calibri" w:hAnsi="Bookman Old Style" w:cs="Times New Roman"/>
                <w:sz w:val="18"/>
                <w:szCs w:val="18"/>
              </w:rPr>
              <w:t>Facilitate approval and implementation of 120 credit programs as mandated by the BOR</w:t>
            </w:r>
          </w:p>
          <w:p w:rsidR="00653FE7" w:rsidRDefault="00653FE7" w:rsidP="00653FE7">
            <w:pPr>
              <w:pStyle w:val="ListParagraph"/>
              <w:rPr>
                <w:rFonts w:ascii="Bookman Old Style" w:eastAsia="Calibri" w:hAnsi="Bookman Old Style" w:cs="Times New Roman"/>
                <w:sz w:val="18"/>
                <w:szCs w:val="18"/>
              </w:rPr>
            </w:pPr>
          </w:p>
          <w:p w:rsidR="00C525E6" w:rsidRDefault="00C525E6" w:rsidP="00C525E6">
            <w:pPr>
              <w:pStyle w:val="ListParagraph"/>
              <w:rPr>
                <w:rFonts w:ascii="Bookman Old Style" w:eastAsia="Calibri" w:hAnsi="Bookman Old Style" w:cs="Times New Roman"/>
                <w:sz w:val="18"/>
                <w:szCs w:val="18"/>
              </w:rPr>
            </w:pPr>
          </w:p>
          <w:p w:rsidR="00C525E6" w:rsidRDefault="00C525E6" w:rsidP="00C525E6">
            <w:pPr>
              <w:pStyle w:val="ListParagraph"/>
              <w:numPr>
                <w:ilvl w:val="0"/>
                <w:numId w:val="18"/>
              </w:numPr>
              <w:rPr>
                <w:rFonts w:ascii="Bookman Old Style" w:eastAsia="Calibri" w:hAnsi="Bookman Old Style" w:cs="Times New Roman"/>
                <w:sz w:val="18"/>
                <w:szCs w:val="18"/>
              </w:rPr>
            </w:pPr>
            <w:r>
              <w:rPr>
                <w:rFonts w:ascii="Bookman Old Style" w:eastAsia="Calibri" w:hAnsi="Bookman Old Style" w:cs="Times New Roman"/>
                <w:sz w:val="18"/>
                <w:szCs w:val="18"/>
              </w:rPr>
              <w:t>P</w:t>
            </w:r>
            <w:r w:rsidRPr="00C525E6">
              <w:rPr>
                <w:rFonts w:ascii="Bookman Old Style" w:eastAsia="Calibri" w:hAnsi="Bookman Old Style" w:cs="Times New Roman"/>
                <w:sz w:val="18"/>
                <w:szCs w:val="18"/>
              </w:rPr>
              <w:t xml:space="preserve">ropose policies </w:t>
            </w:r>
            <w:r>
              <w:rPr>
                <w:rFonts w:ascii="Bookman Old Style" w:eastAsia="Calibri" w:hAnsi="Bookman Old Style" w:cs="Times New Roman"/>
                <w:sz w:val="18"/>
                <w:szCs w:val="18"/>
              </w:rPr>
              <w:t>to govern</w:t>
            </w:r>
            <w:r w:rsidRPr="00C525E6">
              <w:rPr>
                <w:rFonts w:ascii="Bookman Old Style" w:eastAsia="Calibri" w:hAnsi="Bookman Old Style" w:cs="Times New Roman"/>
                <w:sz w:val="18"/>
                <w:szCs w:val="18"/>
              </w:rPr>
              <w:t xml:space="preserve"> how students are admitted to and progress through our current teacher preparation programs</w:t>
            </w:r>
            <w:r>
              <w:rPr>
                <w:rFonts w:ascii="Bookman Old Style" w:eastAsia="Calibri" w:hAnsi="Bookman Old Style" w:cs="Times New Roman"/>
                <w:sz w:val="18"/>
                <w:szCs w:val="18"/>
              </w:rPr>
              <w:t xml:space="preserve"> in light of current accreditation requirements, state policies, and best practice</w:t>
            </w:r>
          </w:p>
          <w:p w:rsidR="00C525E6" w:rsidRPr="00F8483B" w:rsidRDefault="00C525E6" w:rsidP="00C525E6">
            <w:pPr>
              <w:pStyle w:val="ListParagraph"/>
              <w:rPr>
                <w:rFonts w:ascii="Bookman Old Style" w:eastAsia="Calibri" w:hAnsi="Bookman Old Style" w:cs="Times New Roman"/>
                <w:sz w:val="18"/>
                <w:szCs w:val="18"/>
              </w:rPr>
            </w:pPr>
          </w:p>
          <w:p w:rsidR="005A17C3" w:rsidRDefault="00F8483B" w:rsidP="00C525E6">
            <w:pPr>
              <w:numPr>
                <w:ilvl w:val="0"/>
                <w:numId w:val="18"/>
              </w:numPr>
              <w:contextualSpacing/>
              <w:rPr>
                <w:rFonts w:ascii="Bookman Old Style" w:eastAsia="Calibri" w:hAnsi="Bookman Old Style" w:cs="Times New Roman"/>
                <w:sz w:val="18"/>
                <w:szCs w:val="18"/>
              </w:rPr>
            </w:pPr>
            <w:r w:rsidRPr="00F8483B">
              <w:rPr>
                <w:rFonts w:ascii="Bookman Old Style" w:eastAsia="Calibri" w:hAnsi="Bookman Old Style" w:cs="Times New Roman"/>
                <w:sz w:val="18"/>
                <w:szCs w:val="18"/>
              </w:rPr>
              <w:t>Develop and pilot a common field experience evaluation instrument that incorporates assessment of non-academic behaviors</w:t>
            </w:r>
          </w:p>
          <w:p w:rsidR="00C525E6" w:rsidRDefault="00C525E6" w:rsidP="00C525E6">
            <w:pPr>
              <w:ind w:left="720"/>
              <w:contextualSpacing/>
              <w:rPr>
                <w:rFonts w:ascii="Bookman Old Style" w:eastAsia="Calibri" w:hAnsi="Bookman Old Style" w:cs="Times New Roman"/>
                <w:sz w:val="18"/>
                <w:szCs w:val="18"/>
              </w:rPr>
            </w:pPr>
          </w:p>
          <w:p w:rsidR="00C525E6" w:rsidRPr="00C525E6" w:rsidRDefault="00C525E6" w:rsidP="00C525E6">
            <w:pPr>
              <w:pStyle w:val="ListParagraph"/>
              <w:numPr>
                <w:ilvl w:val="0"/>
                <w:numId w:val="18"/>
              </w:numPr>
              <w:rPr>
                <w:rFonts w:ascii="Bookman Old Style" w:eastAsia="Calibri" w:hAnsi="Bookman Old Style" w:cs="Times New Roman"/>
                <w:sz w:val="18"/>
                <w:szCs w:val="18"/>
              </w:rPr>
            </w:pPr>
            <w:r w:rsidRPr="00C525E6">
              <w:rPr>
                <w:rFonts w:ascii="Bookman Old Style" w:eastAsia="Calibri" w:hAnsi="Bookman Old Style" w:cs="Times New Roman"/>
                <w:sz w:val="18"/>
                <w:szCs w:val="18"/>
              </w:rPr>
              <w:t>Integrate K-12 partners in all CTEC work</w:t>
            </w:r>
            <w:r>
              <w:t xml:space="preserve"> </w:t>
            </w:r>
            <w:r w:rsidRPr="00C525E6">
              <w:rPr>
                <w:rFonts w:ascii="Bookman Old Style" w:eastAsia="Calibri" w:hAnsi="Bookman Old Style" w:cs="Times New Roman"/>
                <w:sz w:val="18"/>
                <w:szCs w:val="18"/>
              </w:rPr>
              <w:t>with goal of further refining the partnership model for 2017-2018</w:t>
            </w:r>
          </w:p>
          <w:p w:rsidR="00C525E6" w:rsidRPr="00BD4DEC" w:rsidRDefault="00C525E6" w:rsidP="00C525E6">
            <w:pPr>
              <w:ind w:left="720"/>
              <w:contextualSpacing/>
              <w:rPr>
                <w:rFonts w:ascii="Bookman Old Style" w:eastAsia="Calibri" w:hAnsi="Bookman Old Style" w:cs="Times New Roman"/>
                <w:sz w:val="18"/>
                <w:szCs w:val="18"/>
              </w:rPr>
            </w:pPr>
          </w:p>
          <w:p w:rsidR="00C525E6" w:rsidRDefault="00B07E3A" w:rsidP="00B07E3A">
            <w:pPr>
              <w:pStyle w:val="ListParagraph"/>
              <w:numPr>
                <w:ilvl w:val="0"/>
                <w:numId w:val="18"/>
              </w:numPr>
              <w:rPr>
                <w:rFonts w:ascii="Bookman Old Style" w:eastAsia="Calibri" w:hAnsi="Bookman Old Style" w:cs="Times New Roman"/>
                <w:sz w:val="18"/>
                <w:szCs w:val="18"/>
              </w:rPr>
            </w:pPr>
            <w:r>
              <w:rPr>
                <w:rFonts w:ascii="Bookman Old Style" w:eastAsia="Calibri" w:hAnsi="Bookman Old Style" w:cs="Times New Roman"/>
                <w:sz w:val="18"/>
                <w:szCs w:val="18"/>
              </w:rPr>
              <w:t xml:space="preserve">Develop system for assessing non-academic behaviors at admission and throughout program </w:t>
            </w:r>
          </w:p>
          <w:p w:rsidR="00B07E3A" w:rsidRPr="00F8483B" w:rsidRDefault="00B07E3A" w:rsidP="00C525E6">
            <w:pPr>
              <w:pStyle w:val="ListParagraph"/>
              <w:rPr>
                <w:rFonts w:ascii="Bookman Old Style" w:eastAsia="Calibri" w:hAnsi="Bookman Old Style" w:cs="Times New Roman"/>
                <w:sz w:val="18"/>
                <w:szCs w:val="18"/>
              </w:rPr>
            </w:pPr>
          </w:p>
          <w:p w:rsidR="00F8483B" w:rsidRDefault="00F8483B" w:rsidP="00C525E6">
            <w:pPr>
              <w:numPr>
                <w:ilvl w:val="0"/>
                <w:numId w:val="18"/>
              </w:numPr>
              <w:contextualSpacing/>
              <w:rPr>
                <w:rFonts w:ascii="Bookman Old Style" w:eastAsia="Calibri" w:hAnsi="Bookman Old Style" w:cs="Times New Roman"/>
                <w:sz w:val="18"/>
                <w:szCs w:val="18"/>
              </w:rPr>
            </w:pPr>
            <w:r w:rsidRPr="00F8483B">
              <w:rPr>
                <w:rFonts w:ascii="Bookman Old Style" w:eastAsia="Calibri" w:hAnsi="Bookman Old Style" w:cs="Times New Roman"/>
                <w:sz w:val="18"/>
                <w:szCs w:val="18"/>
              </w:rPr>
              <w:t>Finalize and approve the draft core practice oriented program outcomes that will guide redesign of teacher education at CCSU</w:t>
            </w:r>
          </w:p>
          <w:p w:rsidR="00C525E6" w:rsidRPr="00F8483B" w:rsidRDefault="00C525E6" w:rsidP="00C525E6">
            <w:pPr>
              <w:ind w:left="720"/>
              <w:contextualSpacing/>
              <w:rPr>
                <w:rFonts w:ascii="Bookman Old Style" w:eastAsia="Calibri" w:hAnsi="Bookman Old Style" w:cs="Times New Roman"/>
                <w:sz w:val="18"/>
                <w:szCs w:val="18"/>
              </w:rPr>
            </w:pPr>
          </w:p>
          <w:p w:rsidR="00F8483B" w:rsidRDefault="00F8483B" w:rsidP="00C525E6">
            <w:pPr>
              <w:numPr>
                <w:ilvl w:val="0"/>
                <w:numId w:val="18"/>
              </w:numPr>
              <w:contextualSpacing/>
              <w:rPr>
                <w:rFonts w:ascii="Bookman Old Style" w:eastAsia="Calibri" w:hAnsi="Bookman Old Style" w:cs="Times New Roman"/>
                <w:sz w:val="18"/>
                <w:szCs w:val="18"/>
              </w:rPr>
            </w:pPr>
            <w:r w:rsidRPr="00F8483B">
              <w:rPr>
                <w:rFonts w:ascii="Bookman Old Style" w:eastAsia="Calibri" w:hAnsi="Bookman Old Style" w:cs="Times New Roman"/>
                <w:sz w:val="18"/>
                <w:szCs w:val="18"/>
              </w:rPr>
              <w:t>Begin redesign of teacher education at CCSU integrating K-12 partners in that work</w:t>
            </w:r>
          </w:p>
          <w:p w:rsidR="00C525E6" w:rsidRPr="00F8483B" w:rsidRDefault="00C525E6" w:rsidP="00C525E6">
            <w:pPr>
              <w:ind w:left="720"/>
              <w:contextualSpacing/>
              <w:rPr>
                <w:rFonts w:ascii="Bookman Old Style" w:eastAsia="Calibri" w:hAnsi="Bookman Old Style" w:cs="Times New Roman"/>
                <w:sz w:val="18"/>
                <w:szCs w:val="18"/>
              </w:rPr>
            </w:pPr>
          </w:p>
          <w:p w:rsidR="00F8483B" w:rsidRDefault="00F8483B" w:rsidP="00C525E6">
            <w:pPr>
              <w:numPr>
                <w:ilvl w:val="0"/>
                <w:numId w:val="18"/>
              </w:numPr>
              <w:contextualSpacing/>
              <w:rPr>
                <w:rFonts w:ascii="Bookman Old Style" w:eastAsia="Calibri" w:hAnsi="Bookman Old Style" w:cs="Times New Roman"/>
                <w:sz w:val="18"/>
                <w:szCs w:val="18"/>
              </w:rPr>
            </w:pPr>
            <w:r w:rsidRPr="00F8483B">
              <w:rPr>
                <w:rFonts w:ascii="Bookman Old Style" w:eastAsia="Calibri" w:hAnsi="Bookman Old Style" w:cs="Times New Roman"/>
                <w:sz w:val="18"/>
                <w:szCs w:val="18"/>
              </w:rPr>
              <w:t>Support pilot implementation, faculty professional development, and evaluation of edTPA as a CCSU assessment tool</w:t>
            </w:r>
          </w:p>
          <w:p w:rsidR="00C525E6" w:rsidRPr="00F8483B" w:rsidRDefault="00C525E6" w:rsidP="00C525E6">
            <w:pPr>
              <w:ind w:left="720"/>
              <w:contextualSpacing/>
              <w:rPr>
                <w:rFonts w:ascii="Bookman Old Style" w:eastAsia="Calibri" w:hAnsi="Bookman Old Style" w:cs="Times New Roman"/>
                <w:sz w:val="18"/>
                <w:szCs w:val="18"/>
              </w:rPr>
            </w:pPr>
          </w:p>
          <w:p w:rsidR="00C525E6" w:rsidRDefault="00C525E6" w:rsidP="00C525E6">
            <w:pPr>
              <w:numPr>
                <w:ilvl w:val="0"/>
                <w:numId w:val="18"/>
              </w:numPr>
              <w:contextualSpacing/>
              <w:rPr>
                <w:rFonts w:ascii="Bookman Old Style" w:eastAsia="Calibri" w:hAnsi="Bookman Old Style" w:cs="Times New Roman"/>
                <w:sz w:val="18"/>
                <w:szCs w:val="18"/>
              </w:rPr>
            </w:pPr>
            <w:r w:rsidRPr="00F8483B">
              <w:rPr>
                <w:rFonts w:ascii="Bookman Old Style" w:eastAsia="Calibri" w:hAnsi="Bookman Old Style" w:cs="Times New Roman"/>
                <w:sz w:val="18"/>
                <w:szCs w:val="18"/>
              </w:rPr>
              <w:t>Develop common lesson plan and long range plan formats to be integrated across programs and courses</w:t>
            </w:r>
          </w:p>
          <w:p w:rsidR="00C525E6" w:rsidRPr="00F8483B" w:rsidRDefault="00C525E6" w:rsidP="00C525E6">
            <w:pPr>
              <w:ind w:left="720"/>
              <w:contextualSpacing/>
              <w:rPr>
                <w:rFonts w:ascii="Bookman Old Style" w:eastAsia="Calibri" w:hAnsi="Bookman Old Style" w:cs="Times New Roman"/>
                <w:sz w:val="18"/>
                <w:szCs w:val="18"/>
              </w:rPr>
            </w:pPr>
          </w:p>
          <w:p w:rsidR="00B07E3A" w:rsidRDefault="00F8483B" w:rsidP="00B07E3A">
            <w:pPr>
              <w:pStyle w:val="ListParagraph"/>
              <w:numPr>
                <w:ilvl w:val="0"/>
                <w:numId w:val="18"/>
              </w:numPr>
              <w:rPr>
                <w:rFonts w:ascii="Bookman Old Style" w:eastAsia="Calibri" w:hAnsi="Bookman Old Style" w:cs="Times New Roman"/>
                <w:sz w:val="18"/>
                <w:szCs w:val="18"/>
              </w:rPr>
            </w:pPr>
            <w:r w:rsidRPr="00F8483B">
              <w:rPr>
                <w:rFonts w:ascii="Bookman Old Style" w:eastAsia="Calibri" w:hAnsi="Bookman Old Style" w:cs="Times New Roman"/>
                <w:sz w:val="18"/>
                <w:szCs w:val="18"/>
              </w:rPr>
              <w:t>Pilot modules on UDL and classroom climate/behavior management developed through summer curriculum grants as well as SEL and dyslexia modules</w:t>
            </w:r>
            <w:r w:rsidR="00B07E3A" w:rsidRPr="00F8483B">
              <w:rPr>
                <w:rFonts w:ascii="Bookman Old Style" w:eastAsia="Calibri" w:hAnsi="Bookman Old Style" w:cs="Times New Roman"/>
                <w:sz w:val="18"/>
                <w:szCs w:val="18"/>
              </w:rPr>
              <w:t xml:space="preserve"> </w:t>
            </w:r>
          </w:p>
          <w:p w:rsidR="00B07E3A" w:rsidRPr="00B07E3A" w:rsidRDefault="00B07E3A" w:rsidP="00B07E3A">
            <w:pPr>
              <w:pStyle w:val="ListParagraph"/>
              <w:rPr>
                <w:rFonts w:ascii="Bookman Old Style" w:eastAsia="Calibri" w:hAnsi="Bookman Old Style" w:cs="Times New Roman"/>
                <w:sz w:val="18"/>
                <w:szCs w:val="18"/>
              </w:rPr>
            </w:pPr>
          </w:p>
          <w:p w:rsidR="00B07E3A" w:rsidRDefault="00B07E3A" w:rsidP="00B07E3A">
            <w:pPr>
              <w:pStyle w:val="ListParagraph"/>
              <w:numPr>
                <w:ilvl w:val="0"/>
                <w:numId w:val="18"/>
              </w:numPr>
              <w:rPr>
                <w:rFonts w:ascii="Bookman Old Style" w:eastAsia="Calibri" w:hAnsi="Bookman Old Style" w:cs="Times New Roman"/>
                <w:sz w:val="18"/>
                <w:szCs w:val="18"/>
              </w:rPr>
            </w:pPr>
            <w:r w:rsidRPr="00F8483B">
              <w:rPr>
                <w:rFonts w:ascii="Bookman Old Style" w:eastAsia="Calibri" w:hAnsi="Bookman Old Style" w:cs="Times New Roman"/>
                <w:sz w:val="18"/>
                <w:szCs w:val="18"/>
              </w:rPr>
              <w:t>Communicate CTEC work to larger teacher educator community, CCSU department chairs, and K-12 partners, facilitating discussion and engagement with our work</w:t>
            </w:r>
            <w:r>
              <w:rPr>
                <w:rFonts w:ascii="Bookman Old Style" w:eastAsia="Calibri" w:hAnsi="Bookman Old Style" w:cs="Times New Roman"/>
                <w:sz w:val="18"/>
                <w:szCs w:val="18"/>
              </w:rPr>
              <w:t xml:space="preserve"> and integration of CTEC into departmental by-laws</w:t>
            </w:r>
            <w:r w:rsidRPr="00F8483B">
              <w:rPr>
                <w:rFonts w:ascii="Bookman Old Style" w:eastAsia="Calibri" w:hAnsi="Bookman Old Style" w:cs="Times New Roman"/>
                <w:sz w:val="18"/>
                <w:szCs w:val="18"/>
              </w:rPr>
              <w:t>.</w:t>
            </w:r>
          </w:p>
          <w:p w:rsidR="00F8483B" w:rsidRDefault="00F8483B" w:rsidP="00B07E3A">
            <w:pPr>
              <w:ind w:left="360"/>
              <w:contextualSpacing/>
              <w:rPr>
                <w:rFonts w:ascii="Bookman Old Style" w:eastAsia="Calibri" w:hAnsi="Bookman Old Style" w:cs="Times New Roman"/>
                <w:sz w:val="18"/>
                <w:szCs w:val="18"/>
              </w:rPr>
            </w:pPr>
          </w:p>
          <w:p w:rsidR="005A17C3" w:rsidRPr="00EB3CC1" w:rsidRDefault="005A17C3" w:rsidP="00C525E6">
            <w:pPr>
              <w:contextualSpacing/>
              <w:rPr>
                <w:rFonts w:ascii="Bookman Old Style" w:eastAsia="Calibri" w:hAnsi="Bookman Old Style" w:cs="Times New Roman"/>
                <w:sz w:val="20"/>
                <w:szCs w:val="20"/>
              </w:rPr>
            </w:pPr>
          </w:p>
        </w:tc>
        <w:tc>
          <w:tcPr>
            <w:tcW w:w="270" w:type="dxa"/>
          </w:tcPr>
          <w:p w:rsidR="005A17C3" w:rsidRPr="00EB3CC1" w:rsidRDefault="005A17C3" w:rsidP="005262FB">
            <w:pPr>
              <w:rPr>
                <w:rFonts w:ascii="Bookman Old Style" w:eastAsia="Calibri" w:hAnsi="Bookman Old Style" w:cs="Times New Roman"/>
                <w:sz w:val="20"/>
                <w:szCs w:val="20"/>
              </w:rPr>
            </w:pPr>
          </w:p>
        </w:tc>
      </w:tr>
      <w:tr w:rsidR="005A17C3" w:rsidRPr="00EB3CC1" w:rsidTr="00E12FC0">
        <w:trPr>
          <w:trHeight w:val="75"/>
        </w:trPr>
        <w:tc>
          <w:tcPr>
            <w:tcW w:w="720" w:type="dxa"/>
          </w:tcPr>
          <w:p w:rsidR="005A17C3" w:rsidRPr="00EB3CC1" w:rsidRDefault="005A17C3" w:rsidP="007A40B4">
            <w:pPr>
              <w:jc w:val="both"/>
              <w:rPr>
                <w:rFonts w:ascii="Bookman Old Style" w:eastAsia="Calibri" w:hAnsi="Bookman Old Style" w:cs="Times New Roman"/>
                <w:b/>
                <w:sz w:val="20"/>
                <w:szCs w:val="20"/>
              </w:rPr>
            </w:pPr>
          </w:p>
        </w:tc>
        <w:tc>
          <w:tcPr>
            <w:tcW w:w="9900" w:type="dxa"/>
          </w:tcPr>
          <w:p w:rsidR="00025301" w:rsidRDefault="00025301" w:rsidP="00025301"/>
          <w:p w:rsidR="00025301" w:rsidRDefault="00025301" w:rsidP="00025301">
            <w:pPr>
              <w:pStyle w:val="ListParagraph"/>
              <w:ind w:left="810"/>
            </w:pPr>
            <w:r>
              <w:t xml:space="preserve">The meeting adjourned at </w:t>
            </w:r>
            <w:r w:rsidR="00F100F4">
              <w:t xml:space="preserve">4:10 </w:t>
            </w:r>
            <w:r>
              <w:t>pm.  The next CTEC meeting is scheduled for 11/17/16 at 3:15 in the Student Center, 1849 room.</w:t>
            </w:r>
          </w:p>
          <w:p w:rsidR="005F4520" w:rsidRDefault="005F4520" w:rsidP="00025301">
            <w:pPr>
              <w:pStyle w:val="ListParagraph"/>
              <w:ind w:left="810"/>
            </w:pPr>
          </w:p>
          <w:p w:rsidR="005262FB" w:rsidRPr="00EB278E" w:rsidRDefault="005F4520" w:rsidP="007A40B4">
            <w:pPr>
              <w:rPr>
                <w:rFonts w:ascii="Bookman Old Style" w:eastAsia="Calibri" w:hAnsi="Bookman Old Style" w:cs="Times New Roman"/>
                <w:sz w:val="20"/>
                <w:szCs w:val="20"/>
              </w:rPr>
            </w:pPr>
            <w:r>
              <w:rPr>
                <w:rFonts w:ascii="Bookman Old Style" w:eastAsia="Calibri" w:hAnsi="Bookman Old Style" w:cs="Times New Roman"/>
                <w:sz w:val="20"/>
                <w:szCs w:val="20"/>
              </w:rPr>
              <w:t>Meeting Minutes Submitted by Alisa St.</w:t>
            </w:r>
            <w:r w:rsidR="00F57158">
              <w:rPr>
                <w:rFonts w:ascii="Bookman Old Style" w:eastAsia="Calibri" w:hAnsi="Bookman Old Style" w:cs="Times New Roman"/>
                <w:sz w:val="20"/>
                <w:szCs w:val="20"/>
              </w:rPr>
              <w:t xml:space="preserve"> </w:t>
            </w:r>
            <w:r>
              <w:rPr>
                <w:rFonts w:ascii="Bookman Old Style" w:eastAsia="Calibri" w:hAnsi="Bookman Old Style" w:cs="Times New Roman"/>
                <w:sz w:val="20"/>
                <w:szCs w:val="20"/>
              </w:rPr>
              <w:t>Georges</w:t>
            </w:r>
          </w:p>
        </w:tc>
        <w:tc>
          <w:tcPr>
            <w:tcW w:w="270" w:type="dxa"/>
          </w:tcPr>
          <w:p w:rsidR="005A17C3" w:rsidRPr="00EB3CC1" w:rsidRDefault="005A17C3" w:rsidP="007A40B4">
            <w:pPr>
              <w:rPr>
                <w:rFonts w:ascii="Bookman Old Style" w:eastAsia="Calibri" w:hAnsi="Bookman Old Style" w:cs="Times New Roman"/>
                <w:sz w:val="20"/>
                <w:szCs w:val="20"/>
              </w:rPr>
            </w:pPr>
          </w:p>
        </w:tc>
      </w:tr>
    </w:tbl>
    <w:p w:rsidR="005A17C3" w:rsidRPr="001E2685" w:rsidRDefault="005A17C3">
      <w:pPr>
        <w:rPr>
          <w:rFonts w:ascii="Times New Roman" w:hAnsi="Times New Roman" w:cs="Times New Roman"/>
        </w:rPr>
      </w:pPr>
    </w:p>
    <w:p w:rsidR="001D4E61" w:rsidRDefault="001D4E61"/>
    <w:sectPr w:rsidR="001D4E61" w:rsidSect="008709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57448"/>
    <w:multiLevelType w:val="hybridMultilevel"/>
    <w:tmpl w:val="62C2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92BCC"/>
    <w:multiLevelType w:val="hybridMultilevel"/>
    <w:tmpl w:val="F54E3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A14FB"/>
    <w:multiLevelType w:val="hybridMultilevel"/>
    <w:tmpl w:val="2AAE99B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843D3F"/>
    <w:multiLevelType w:val="hybridMultilevel"/>
    <w:tmpl w:val="AF7EE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2B4F3A"/>
    <w:multiLevelType w:val="hybridMultilevel"/>
    <w:tmpl w:val="4A3A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A59FE"/>
    <w:multiLevelType w:val="hybridMultilevel"/>
    <w:tmpl w:val="69EE6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B60927"/>
    <w:multiLevelType w:val="hybridMultilevel"/>
    <w:tmpl w:val="11D2FE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EC4811"/>
    <w:multiLevelType w:val="hybridMultilevel"/>
    <w:tmpl w:val="0C9A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3D7897"/>
    <w:multiLevelType w:val="hybridMultilevel"/>
    <w:tmpl w:val="1D1E7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F56B8E"/>
    <w:multiLevelType w:val="hybridMultilevel"/>
    <w:tmpl w:val="0900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252672"/>
    <w:multiLevelType w:val="hybridMultilevel"/>
    <w:tmpl w:val="931E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BE302A"/>
    <w:multiLevelType w:val="hybridMultilevel"/>
    <w:tmpl w:val="DC122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029BF"/>
    <w:multiLevelType w:val="hybridMultilevel"/>
    <w:tmpl w:val="719AA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E60FB9"/>
    <w:multiLevelType w:val="hybridMultilevel"/>
    <w:tmpl w:val="99E2DE9A"/>
    <w:lvl w:ilvl="0" w:tplc="04090003">
      <w:start w:val="1"/>
      <w:numFmt w:val="bullet"/>
      <w:lvlText w:val="o"/>
      <w:lvlJc w:val="left"/>
      <w:pPr>
        <w:ind w:left="1440" w:hanging="360"/>
      </w:pPr>
      <w:rPr>
        <w:rFonts w:ascii="Courier New" w:hAnsi="Courier New" w:cs="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D8455D1"/>
    <w:multiLevelType w:val="hybridMultilevel"/>
    <w:tmpl w:val="E632B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E156C7"/>
    <w:multiLevelType w:val="hybridMultilevel"/>
    <w:tmpl w:val="33664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6783570"/>
    <w:multiLevelType w:val="hybridMultilevel"/>
    <w:tmpl w:val="870A0EE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2B69C1"/>
    <w:multiLevelType w:val="hybridMultilevel"/>
    <w:tmpl w:val="0C987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7"/>
  </w:num>
  <w:num w:numId="4">
    <w:abstractNumId w:val="5"/>
  </w:num>
  <w:num w:numId="5">
    <w:abstractNumId w:val="4"/>
  </w:num>
  <w:num w:numId="6">
    <w:abstractNumId w:val="12"/>
  </w:num>
  <w:num w:numId="7">
    <w:abstractNumId w:val="13"/>
  </w:num>
  <w:num w:numId="8">
    <w:abstractNumId w:val="8"/>
  </w:num>
  <w:num w:numId="9">
    <w:abstractNumId w:val="6"/>
  </w:num>
  <w:num w:numId="10">
    <w:abstractNumId w:val="15"/>
  </w:num>
  <w:num w:numId="11">
    <w:abstractNumId w:val="10"/>
  </w:num>
  <w:num w:numId="12">
    <w:abstractNumId w:val="17"/>
  </w:num>
  <w:num w:numId="13">
    <w:abstractNumId w:val="0"/>
  </w:num>
  <w:num w:numId="14">
    <w:abstractNumId w:val="9"/>
  </w:num>
  <w:num w:numId="15">
    <w:abstractNumId w:val="11"/>
  </w:num>
  <w:num w:numId="16">
    <w:abstractNumId w:val="1"/>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7C3"/>
    <w:rsid w:val="00025301"/>
    <w:rsid w:val="0007306F"/>
    <w:rsid w:val="000E3BE7"/>
    <w:rsid w:val="001147DB"/>
    <w:rsid w:val="00162613"/>
    <w:rsid w:val="001D4E61"/>
    <w:rsid w:val="001E2685"/>
    <w:rsid w:val="001E331A"/>
    <w:rsid w:val="00202205"/>
    <w:rsid w:val="002202A5"/>
    <w:rsid w:val="00263A6B"/>
    <w:rsid w:val="002D0999"/>
    <w:rsid w:val="002F2603"/>
    <w:rsid w:val="003A6521"/>
    <w:rsid w:val="003C0FFE"/>
    <w:rsid w:val="00437EFC"/>
    <w:rsid w:val="00464D8A"/>
    <w:rsid w:val="004A20FF"/>
    <w:rsid w:val="005011D5"/>
    <w:rsid w:val="00516154"/>
    <w:rsid w:val="005262FB"/>
    <w:rsid w:val="005415B7"/>
    <w:rsid w:val="005569D7"/>
    <w:rsid w:val="0058304D"/>
    <w:rsid w:val="005A17C3"/>
    <w:rsid w:val="005C102F"/>
    <w:rsid w:val="005F4520"/>
    <w:rsid w:val="00640C29"/>
    <w:rsid w:val="0064521E"/>
    <w:rsid w:val="00653FE7"/>
    <w:rsid w:val="006A6058"/>
    <w:rsid w:val="006C2707"/>
    <w:rsid w:val="006E1623"/>
    <w:rsid w:val="007002E7"/>
    <w:rsid w:val="00750DB5"/>
    <w:rsid w:val="00765113"/>
    <w:rsid w:val="00787723"/>
    <w:rsid w:val="007B0409"/>
    <w:rsid w:val="007E400B"/>
    <w:rsid w:val="007F69ED"/>
    <w:rsid w:val="008157BC"/>
    <w:rsid w:val="008474D4"/>
    <w:rsid w:val="008616D7"/>
    <w:rsid w:val="008709F9"/>
    <w:rsid w:val="009A37B8"/>
    <w:rsid w:val="009C5CC9"/>
    <w:rsid w:val="00A26EB3"/>
    <w:rsid w:val="00A715DB"/>
    <w:rsid w:val="00AE721B"/>
    <w:rsid w:val="00AE7D16"/>
    <w:rsid w:val="00B07E3A"/>
    <w:rsid w:val="00B21D23"/>
    <w:rsid w:val="00B85A90"/>
    <w:rsid w:val="00BA4637"/>
    <w:rsid w:val="00BD4DEC"/>
    <w:rsid w:val="00BF4BE5"/>
    <w:rsid w:val="00C11E58"/>
    <w:rsid w:val="00C436B9"/>
    <w:rsid w:val="00C444D0"/>
    <w:rsid w:val="00C5020A"/>
    <w:rsid w:val="00C525E6"/>
    <w:rsid w:val="00C95EF5"/>
    <w:rsid w:val="00D21A00"/>
    <w:rsid w:val="00D31258"/>
    <w:rsid w:val="00D77152"/>
    <w:rsid w:val="00D8510F"/>
    <w:rsid w:val="00DD70C1"/>
    <w:rsid w:val="00DE465A"/>
    <w:rsid w:val="00E12FC0"/>
    <w:rsid w:val="00E21446"/>
    <w:rsid w:val="00E44D77"/>
    <w:rsid w:val="00F100F4"/>
    <w:rsid w:val="00F16484"/>
    <w:rsid w:val="00F57158"/>
    <w:rsid w:val="00F7214C"/>
    <w:rsid w:val="00F8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83B3C2-D020-420A-9EE4-90BF339BD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7C3"/>
    <w:pPr>
      <w:ind w:left="720"/>
      <w:contextualSpacing/>
    </w:pPr>
  </w:style>
  <w:style w:type="table" w:customStyle="1" w:styleId="TableGrid1">
    <w:name w:val="Table Grid1"/>
    <w:basedOn w:val="TableNormal"/>
    <w:next w:val="TableGrid"/>
    <w:uiPriority w:val="59"/>
    <w:rsid w:val="005A1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A1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1A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A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1170</Words>
  <Characters>6673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Hoffman, Nancy (Ed Lead Policy Inst Tech)</dc:creator>
  <cp:keywords/>
  <dc:description/>
  <cp:lastModifiedBy>manuscript reviewer</cp:lastModifiedBy>
  <cp:revision>3</cp:revision>
  <cp:lastPrinted>2016-10-13T17:59:00Z</cp:lastPrinted>
  <dcterms:created xsi:type="dcterms:W3CDTF">2016-10-17T13:26:00Z</dcterms:created>
  <dcterms:modified xsi:type="dcterms:W3CDTF">2016-11-15T15:58:00Z</dcterms:modified>
</cp:coreProperties>
</file>