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B2" w:rsidRPr="006D49E4" w:rsidRDefault="007322B2" w:rsidP="0083242A">
      <w:pPr>
        <w:spacing w:before="100" w:beforeAutospacing="1" w:after="100" w:afterAutospacing="1" w:line="240" w:lineRule="auto"/>
        <w:contextualSpacing/>
        <w:jc w:val="center"/>
        <w:rPr>
          <w:b/>
          <w:bCs/>
          <w:i/>
          <w:iCs/>
          <w:sz w:val="24"/>
          <w:szCs w:val="24"/>
        </w:rPr>
      </w:pPr>
      <w:bookmarkStart w:id="0" w:name="_GoBack"/>
      <w:bookmarkEnd w:id="0"/>
      <w:r w:rsidRPr="006D49E4">
        <w:rPr>
          <w:b/>
          <w:bCs/>
          <w:i/>
          <w:iCs/>
          <w:sz w:val="24"/>
          <w:szCs w:val="24"/>
        </w:rPr>
        <w:t>The Learning Center ANNUAL REPORT (2014-2015</w:t>
      </w:r>
      <w:r w:rsidR="0083242A" w:rsidRPr="006D49E4">
        <w:rPr>
          <w:b/>
          <w:bCs/>
          <w:i/>
          <w:iCs/>
          <w:sz w:val="24"/>
          <w:szCs w:val="24"/>
        </w:rPr>
        <w:t xml:space="preserve">) </w:t>
      </w:r>
      <w:r w:rsidR="00034F71" w:rsidRPr="006D49E4">
        <w:rPr>
          <w:b/>
          <w:bCs/>
          <w:iCs/>
          <w:sz w:val="24"/>
          <w:szCs w:val="24"/>
        </w:rPr>
        <w:t>EXECUTIVE SUMMARY</w:t>
      </w:r>
    </w:p>
    <w:p w:rsidR="0083242A" w:rsidRDefault="00105FF8" w:rsidP="0083242A">
      <w:pPr>
        <w:pStyle w:val="ListParagraph"/>
        <w:spacing w:before="100" w:beforeAutospacing="1" w:after="100" w:afterAutospacing="1" w:line="240" w:lineRule="auto"/>
        <w:ind w:left="0"/>
        <w:jc w:val="center"/>
        <w:rPr>
          <w:b/>
          <w:bCs/>
          <w:iCs/>
        </w:rPr>
      </w:pPr>
      <w:r w:rsidRPr="0083242A">
        <w:rPr>
          <w:b/>
          <w:bCs/>
          <w:iCs/>
        </w:rPr>
        <w:t>Past Year Activity</w:t>
      </w:r>
      <w:r w:rsidR="0083242A">
        <w:rPr>
          <w:b/>
          <w:bCs/>
          <w:iCs/>
        </w:rPr>
        <w:t>:</w:t>
      </w:r>
    </w:p>
    <w:p w:rsidR="0083242A" w:rsidRDefault="007322B2" w:rsidP="0083242A">
      <w:pPr>
        <w:pStyle w:val="ListParagraph"/>
        <w:spacing w:before="100" w:beforeAutospacing="1" w:after="100" w:afterAutospacing="1" w:line="240" w:lineRule="auto"/>
        <w:ind w:left="0"/>
      </w:pPr>
      <w:r w:rsidRPr="00CE7080">
        <w:t>The Learning Center (TLC) at CCSU provides academic support services for all students so that they may reach their maximum academic potential</w:t>
      </w:r>
      <w:r>
        <w:t xml:space="preserve">. </w:t>
      </w:r>
      <w:r w:rsidRPr="00CE7080">
        <w:t xml:space="preserve"> Distinct support services offered by TLC staff include, individual and small group academic success coaching; Early </w:t>
      </w:r>
      <w:r w:rsidR="008324B6">
        <w:t xml:space="preserve">Academic </w:t>
      </w:r>
      <w:r w:rsidRPr="00CE7080">
        <w:t>Alert counseling and referral; tutoring for mathematics, statistics</w:t>
      </w:r>
      <w:r>
        <w:t>, chemistry,</w:t>
      </w:r>
      <w:r w:rsidR="008324B6">
        <w:t xml:space="preserve"> and psychology by </w:t>
      </w:r>
      <w:r w:rsidRPr="00CE7080">
        <w:t xml:space="preserve">certified peer tutors; </w:t>
      </w:r>
      <w:r w:rsidR="008324B6">
        <w:t xml:space="preserve">Peer Assisted Study Sessions for Chemistry and Statistics (PASS); Structured Learning Assistance Meetings (SLAMs); </w:t>
      </w:r>
      <w:r w:rsidRPr="00CE7080">
        <w:t>and academic interventions for students on academic probation.  TLC also provide</w:t>
      </w:r>
      <w:r>
        <w:t>s leadership for</w:t>
      </w:r>
      <w:r w:rsidRPr="00CE7080">
        <w:t xml:space="preserve"> Placement Te</w:t>
      </w:r>
      <w:r>
        <w:t xml:space="preserve">sting, </w:t>
      </w:r>
      <w:r w:rsidR="008324B6">
        <w:t>E-tutoring,</w:t>
      </w:r>
      <w:r w:rsidRPr="00CE7080">
        <w:t xml:space="preserve"> and </w:t>
      </w:r>
      <w:r w:rsidR="008324B6" w:rsidRPr="00CE7080">
        <w:t>C</w:t>
      </w:r>
      <w:r w:rsidR="008324B6">
        <w:t xml:space="preserve">ollege </w:t>
      </w:r>
      <w:r w:rsidR="008324B6" w:rsidRPr="00CE7080">
        <w:t>R</w:t>
      </w:r>
      <w:r w:rsidR="008324B6">
        <w:t xml:space="preserve">eading and </w:t>
      </w:r>
      <w:r w:rsidR="008324B6" w:rsidRPr="00CE7080">
        <w:t>L</w:t>
      </w:r>
      <w:r w:rsidR="008324B6">
        <w:t xml:space="preserve">earning </w:t>
      </w:r>
      <w:r w:rsidR="008324B6" w:rsidRPr="00CE7080">
        <w:t>A</w:t>
      </w:r>
      <w:r w:rsidR="008324B6">
        <w:t>ssociation (CRLA) accredited</w:t>
      </w:r>
      <w:r w:rsidR="008324B6" w:rsidRPr="00CE7080">
        <w:t xml:space="preserve"> </w:t>
      </w:r>
      <w:r w:rsidRPr="00CE7080">
        <w:t>tutor certificatio</w:t>
      </w:r>
      <w:r>
        <w:t>n training for any CCSU department that utilizes peer tutors</w:t>
      </w:r>
      <w:r w:rsidRPr="00CE7080">
        <w:t>.</w:t>
      </w:r>
      <w:r>
        <w:t xml:space="preserve"> </w:t>
      </w:r>
      <w:r w:rsidR="001D1809">
        <w:t xml:space="preserve"> </w:t>
      </w:r>
    </w:p>
    <w:p w:rsidR="0083242A" w:rsidRDefault="0083242A" w:rsidP="0083242A">
      <w:pPr>
        <w:pStyle w:val="ListParagraph"/>
        <w:spacing w:before="100" w:beforeAutospacing="1" w:after="100" w:afterAutospacing="1" w:line="240" w:lineRule="auto"/>
        <w:ind w:left="0"/>
        <w:rPr>
          <w:rFonts w:eastAsia="Times New Roman" w:cs="Times New Roman"/>
          <w:i/>
        </w:rPr>
      </w:pPr>
    </w:p>
    <w:p w:rsidR="0083242A" w:rsidRDefault="00F44357" w:rsidP="0083242A">
      <w:pPr>
        <w:pStyle w:val="ListParagraph"/>
        <w:spacing w:before="100" w:beforeAutospacing="1" w:after="100" w:afterAutospacing="1" w:line="240" w:lineRule="auto"/>
        <w:ind w:left="0"/>
        <w:rPr>
          <w:rFonts w:eastAsia="Times New Roman" w:cs="Times New Roman"/>
          <w:i/>
        </w:rPr>
      </w:pPr>
      <w:r w:rsidRPr="002620DD">
        <w:rPr>
          <w:rFonts w:eastAsia="Times New Roman" w:cs="Times New Roman"/>
          <w:i/>
        </w:rPr>
        <w:t>Level of Activity in TLC</w:t>
      </w:r>
      <w:r w:rsidR="002620DD">
        <w:rPr>
          <w:rFonts w:eastAsia="Times New Roman" w:cs="Times New Roman"/>
          <w:i/>
        </w:rPr>
        <w:t>:</w:t>
      </w:r>
    </w:p>
    <w:p w:rsidR="001319A5" w:rsidRPr="0083242A" w:rsidRDefault="001319A5" w:rsidP="0083242A">
      <w:pPr>
        <w:pStyle w:val="ListParagraph"/>
        <w:spacing w:before="100" w:beforeAutospacing="1" w:after="100" w:afterAutospacing="1" w:line="240" w:lineRule="auto"/>
        <w:ind w:left="0"/>
        <w:rPr>
          <w:b/>
          <w:bCs/>
          <w:iCs/>
        </w:rPr>
      </w:pPr>
      <w:r>
        <w:t xml:space="preserve">Total student visits to TLC based on BlueTrack data collection:  </w:t>
      </w:r>
    </w:p>
    <w:p w:rsidR="001319A5" w:rsidRDefault="001319A5" w:rsidP="00612B11">
      <w:pPr>
        <w:pStyle w:val="ListParagraph"/>
        <w:numPr>
          <w:ilvl w:val="0"/>
          <w:numId w:val="4"/>
        </w:numPr>
        <w:spacing w:before="100" w:beforeAutospacing="1" w:after="100" w:afterAutospacing="1" w:line="240" w:lineRule="auto"/>
      </w:pPr>
      <w:r>
        <w:t>10,717 student visits in 14/15</w:t>
      </w:r>
    </w:p>
    <w:p w:rsidR="001319A5" w:rsidRPr="002620DD" w:rsidRDefault="008324B6" w:rsidP="00612B11">
      <w:pPr>
        <w:pStyle w:val="ListParagraph"/>
        <w:numPr>
          <w:ilvl w:val="0"/>
          <w:numId w:val="4"/>
        </w:numPr>
        <w:spacing w:before="100" w:beforeAutospacing="1" w:after="100" w:afterAutospacing="1" w:line="240" w:lineRule="auto"/>
        <w:rPr>
          <w:b/>
          <w:bCs/>
          <w:iCs/>
          <w:sz w:val="24"/>
          <w:szCs w:val="24"/>
        </w:rPr>
      </w:pPr>
      <w:r>
        <w:t>9,750 student visits in 13/14</w:t>
      </w:r>
    </w:p>
    <w:p w:rsidR="00F44357" w:rsidRDefault="001319A5" w:rsidP="00612B11">
      <w:pPr>
        <w:spacing w:before="100" w:beforeAutospacing="1" w:after="100" w:afterAutospacing="1" w:line="240" w:lineRule="auto"/>
        <w:contextualSpacing/>
      </w:pPr>
      <w:r>
        <w:t xml:space="preserve">Number of </w:t>
      </w:r>
      <w:r w:rsidR="001D1809">
        <w:t>students</w:t>
      </w:r>
      <w:r>
        <w:t xml:space="preserve"> who </w:t>
      </w:r>
      <w:r w:rsidR="001D1809">
        <w:t xml:space="preserve">participated in services offered </w:t>
      </w:r>
      <w:r w:rsidR="00F81EB6">
        <w:t>on-site by</w:t>
      </w:r>
      <w:r w:rsidR="007322B2">
        <w:t xml:space="preserve"> TLC </w:t>
      </w:r>
    </w:p>
    <w:p w:rsidR="001319A5" w:rsidRDefault="007322B2" w:rsidP="00612B11">
      <w:pPr>
        <w:spacing w:before="100" w:beforeAutospacing="1" w:after="100" w:afterAutospacing="1" w:line="240" w:lineRule="auto"/>
        <w:contextualSpacing/>
      </w:pPr>
      <w:r>
        <w:t>(not including placement testing</w:t>
      </w:r>
      <w:r w:rsidR="003806D1">
        <w:t xml:space="preserve"> or tutor certification participants</w:t>
      </w:r>
      <w:r>
        <w:t>)</w:t>
      </w:r>
      <w:r w:rsidR="008324B6">
        <w:t>:</w:t>
      </w:r>
      <w:r>
        <w:t xml:space="preserve"> </w:t>
      </w:r>
    </w:p>
    <w:p w:rsidR="001319A5" w:rsidRDefault="001319A5" w:rsidP="00612B11">
      <w:pPr>
        <w:pStyle w:val="ListParagraph"/>
        <w:numPr>
          <w:ilvl w:val="0"/>
          <w:numId w:val="5"/>
        </w:numPr>
        <w:spacing w:before="100" w:beforeAutospacing="1" w:after="100" w:afterAutospacing="1" w:line="240" w:lineRule="auto"/>
      </w:pPr>
      <w:r>
        <w:t>3,298 student participants in 14/15</w:t>
      </w:r>
    </w:p>
    <w:p w:rsidR="00F44357" w:rsidRPr="0083242A" w:rsidRDefault="001D1809" w:rsidP="00612B11">
      <w:pPr>
        <w:pStyle w:val="ListParagraph"/>
        <w:numPr>
          <w:ilvl w:val="0"/>
          <w:numId w:val="5"/>
        </w:numPr>
        <w:spacing w:before="100" w:beforeAutospacing="1" w:after="100" w:afterAutospacing="1" w:line="240" w:lineRule="auto"/>
      </w:pPr>
      <w:r>
        <w:t>2,425 student</w:t>
      </w:r>
      <w:r w:rsidR="001319A5">
        <w:t xml:space="preserve"> participant</w:t>
      </w:r>
      <w:r>
        <w:t>s</w:t>
      </w:r>
      <w:r w:rsidR="001319A5">
        <w:t xml:space="preserve"> in 13/14</w:t>
      </w:r>
      <w:r>
        <w:t>*</w:t>
      </w:r>
    </w:p>
    <w:tbl>
      <w:tblPr>
        <w:tblStyle w:val="TableGrid1"/>
        <w:tblW w:w="0" w:type="auto"/>
        <w:tblLayout w:type="fixed"/>
        <w:tblLook w:val="04A0" w:firstRow="1" w:lastRow="0" w:firstColumn="1" w:lastColumn="0" w:noHBand="0" w:noVBand="1"/>
      </w:tblPr>
      <w:tblGrid>
        <w:gridCol w:w="2808"/>
        <w:gridCol w:w="3330"/>
        <w:gridCol w:w="3330"/>
      </w:tblGrid>
      <w:tr w:rsidR="003806D1" w:rsidRPr="00B27F6D" w:rsidTr="00AC15CB">
        <w:trPr>
          <w:trHeight w:val="547"/>
        </w:trPr>
        <w:tc>
          <w:tcPr>
            <w:tcW w:w="2808" w:type="dxa"/>
            <w:shd w:val="clear" w:color="auto" w:fill="DBE5F1" w:themeFill="accent1" w:themeFillTint="33"/>
          </w:tcPr>
          <w:p w:rsidR="003806D1" w:rsidRPr="00B27F6D" w:rsidRDefault="003806D1" w:rsidP="00612B11">
            <w:pPr>
              <w:spacing w:before="100" w:beforeAutospacing="1" w:after="100" w:afterAutospacing="1"/>
              <w:contextualSpacing/>
              <w:rPr>
                <w:rFonts w:eastAsia="Times New Roman" w:cstheme="minorHAnsi"/>
                <w:i/>
                <w:sz w:val="20"/>
                <w:szCs w:val="20"/>
              </w:rPr>
            </w:pPr>
            <w:r w:rsidRPr="00B27F6D">
              <w:rPr>
                <w:rFonts w:eastAsia="Times New Roman" w:cstheme="minorHAnsi"/>
                <w:b/>
                <w:i/>
                <w:sz w:val="24"/>
                <w:szCs w:val="24"/>
              </w:rPr>
              <w:t>TLC academic support service:</w:t>
            </w:r>
          </w:p>
        </w:tc>
        <w:tc>
          <w:tcPr>
            <w:tcW w:w="3330" w:type="dxa"/>
            <w:shd w:val="clear" w:color="auto" w:fill="DBE5F1" w:themeFill="accent1" w:themeFillTint="33"/>
          </w:tcPr>
          <w:p w:rsidR="003806D1" w:rsidRDefault="003806D1" w:rsidP="00612B11">
            <w:pPr>
              <w:spacing w:before="100" w:beforeAutospacing="1" w:after="100" w:afterAutospacing="1"/>
              <w:contextualSpacing/>
              <w:jc w:val="center"/>
              <w:rPr>
                <w:rFonts w:eastAsia="Times New Roman" w:cstheme="minorHAnsi"/>
                <w:bCs/>
                <w:i/>
              </w:rPr>
            </w:pPr>
            <w:r>
              <w:rPr>
                <w:rFonts w:eastAsia="Times New Roman" w:cstheme="minorHAnsi"/>
                <w:bCs/>
                <w:i/>
              </w:rPr>
              <w:t>Academic Year Activity</w:t>
            </w:r>
          </w:p>
          <w:p w:rsidR="003806D1" w:rsidRPr="00B27F6D" w:rsidRDefault="003806D1" w:rsidP="00612B11">
            <w:pPr>
              <w:tabs>
                <w:tab w:val="center" w:pos="1701"/>
                <w:tab w:val="right" w:pos="3402"/>
              </w:tabs>
              <w:spacing w:before="100" w:beforeAutospacing="1" w:after="100" w:afterAutospacing="1"/>
              <w:contextualSpacing/>
              <w:rPr>
                <w:rFonts w:eastAsia="Times New Roman" w:cstheme="minorHAnsi"/>
                <w:bCs/>
                <w:i/>
              </w:rPr>
            </w:pPr>
            <w:r>
              <w:rPr>
                <w:rFonts w:eastAsia="Times New Roman" w:cstheme="minorHAnsi"/>
                <w:bCs/>
                <w:i/>
              </w:rPr>
              <w:tab/>
              <w:t>13/14</w:t>
            </w:r>
            <w:r>
              <w:rPr>
                <w:rFonts w:eastAsia="Times New Roman" w:cstheme="minorHAnsi"/>
                <w:bCs/>
                <w:i/>
              </w:rPr>
              <w:tab/>
            </w:r>
          </w:p>
        </w:tc>
        <w:tc>
          <w:tcPr>
            <w:tcW w:w="3330" w:type="dxa"/>
            <w:shd w:val="clear" w:color="auto" w:fill="DBE5F1" w:themeFill="accent1" w:themeFillTint="33"/>
          </w:tcPr>
          <w:p w:rsidR="003806D1" w:rsidRDefault="00F81EB6" w:rsidP="00612B11">
            <w:pPr>
              <w:spacing w:before="100" w:beforeAutospacing="1" w:after="100" w:afterAutospacing="1"/>
              <w:contextualSpacing/>
              <w:jc w:val="center"/>
              <w:rPr>
                <w:rFonts w:eastAsia="Times New Roman" w:cstheme="minorHAnsi"/>
                <w:bCs/>
                <w:i/>
              </w:rPr>
            </w:pPr>
            <w:r>
              <w:rPr>
                <w:rFonts w:eastAsia="Times New Roman" w:cstheme="minorHAnsi"/>
                <w:bCs/>
                <w:i/>
              </w:rPr>
              <w:t>Academic Year Activity</w:t>
            </w:r>
          </w:p>
          <w:p w:rsidR="00F81EB6" w:rsidRDefault="00F81EB6" w:rsidP="00612B11">
            <w:pPr>
              <w:spacing w:before="100" w:beforeAutospacing="1" w:after="100" w:afterAutospacing="1"/>
              <w:contextualSpacing/>
              <w:jc w:val="center"/>
              <w:rPr>
                <w:rFonts w:eastAsia="Times New Roman" w:cstheme="minorHAnsi"/>
                <w:bCs/>
                <w:i/>
              </w:rPr>
            </w:pPr>
            <w:r>
              <w:rPr>
                <w:rFonts w:eastAsia="Times New Roman" w:cstheme="minorHAnsi"/>
                <w:bCs/>
                <w:i/>
              </w:rPr>
              <w:t>14/15</w:t>
            </w:r>
          </w:p>
        </w:tc>
      </w:tr>
      <w:tr w:rsidR="003806D1" w:rsidRPr="00B27F6D" w:rsidTr="00AC15CB">
        <w:tc>
          <w:tcPr>
            <w:tcW w:w="2808" w:type="dxa"/>
            <w:shd w:val="clear" w:color="auto" w:fill="DBE5F1" w:themeFill="accent1" w:themeFillTint="33"/>
          </w:tcPr>
          <w:p w:rsidR="003806D1" w:rsidRPr="00F81EB6" w:rsidRDefault="003806D1" w:rsidP="00612B11">
            <w:pPr>
              <w:spacing w:before="100" w:beforeAutospacing="1" w:after="100" w:afterAutospacing="1"/>
              <w:contextualSpacing/>
              <w:rPr>
                <w:rFonts w:eastAsia="Times New Roman" w:cstheme="minorHAnsi"/>
                <w:sz w:val="20"/>
                <w:szCs w:val="20"/>
              </w:rPr>
            </w:pPr>
            <w:r w:rsidRPr="00F81EB6">
              <w:rPr>
                <w:rFonts w:eastAsia="Times New Roman" w:cstheme="minorHAnsi"/>
                <w:sz w:val="20"/>
                <w:szCs w:val="20"/>
              </w:rPr>
              <w:t>Early Academic Alert</w:t>
            </w:r>
          </w:p>
          <w:p w:rsidR="003806D1" w:rsidRPr="00F81EB6" w:rsidRDefault="003806D1" w:rsidP="00612B11">
            <w:pPr>
              <w:spacing w:before="100" w:beforeAutospacing="1" w:after="100" w:afterAutospacing="1"/>
              <w:contextualSpacing/>
              <w:rPr>
                <w:rFonts w:eastAsia="Times New Roman" w:cstheme="minorHAnsi"/>
                <w:sz w:val="20"/>
                <w:szCs w:val="20"/>
              </w:rPr>
            </w:pPr>
          </w:p>
        </w:tc>
        <w:tc>
          <w:tcPr>
            <w:tcW w:w="3330" w:type="dxa"/>
          </w:tcPr>
          <w:p w:rsidR="003806D1" w:rsidRPr="00F81EB6" w:rsidRDefault="003806D1" w:rsidP="00612B11">
            <w:pPr>
              <w:spacing w:before="100" w:beforeAutospacing="1" w:after="100" w:afterAutospacing="1"/>
              <w:contextualSpacing/>
              <w:rPr>
                <w:rFonts w:cstheme="minorHAnsi"/>
                <w:b/>
                <w:sz w:val="20"/>
                <w:szCs w:val="20"/>
              </w:rPr>
            </w:pPr>
            <w:r w:rsidRPr="00F81EB6">
              <w:rPr>
                <w:rFonts w:cstheme="minorHAnsi"/>
                <w:b/>
                <w:sz w:val="20"/>
                <w:szCs w:val="20"/>
              </w:rPr>
              <w:t>Alerts submitted to TLC=1856</w:t>
            </w:r>
          </w:p>
          <w:p w:rsidR="003806D1" w:rsidRPr="00944044" w:rsidRDefault="003806D1" w:rsidP="00612B11">
            <w:pPr>
              <w:spacing w:before="100" w:beforeAutospacing="1" w:after="100" w:afterAutospacing="1"/>
              <w:contextualSpacing/>
              <w:rPr>
                <w:rFonts w:cstheme="minorHAnsi"/>
                <w:b/>
                <w:sz w:val="16"/>
                <w:szCs w:val="16"/>
              </w:rPr>
            </w:pPr>
            <w:r w:rsidRPr="00944044">
              <w:rPr>
                <w:rFonts w:cstheme="minorHAnsi"/>
                <w:b/>
                <w:sz w:val="16"/>
                <w:szCs w:val="16"/>
              </w:rPr>
              <w:t>Consultations with student</w:t>
            </w:r>
            <w:r w:rsidR="00AC15CB" w:rsidRPr="00944044">
              <w:rPr>
                <w:rFonts w:cstheme="minorHAnsi"/>
                <w:b/>
                <w:sz w:val="16"/>
                <w:szCs w:val="16"/>
              </w:rPr>
              <w:t>s</w:t>
            </w:r>
            <w:r w:rsidRPr="00944044">
              <w:rPr>
                <w:rFonts w:cstheme="minorHAnsi"/>
                <w:b/>
                <w:sz w:val="16"/>
                <w:szCs w:val="16"/>
              </w:rPr>
              <w:t>=</w:t>
            </w:r>
            <w:r w:rsidR="00944044">
              <w:rPr>
                <w:rFonts w:cstheme="minorHAnsi"/>
                <w:b/>
                <w:sz w:val="16"/>
                <w:szCs w:val="16"/>
              </w:rPr>
              <w:t xml:space="preserve">  </w:t>
            </w:r>
            <w:r w:rsidRPr="00F81EB6">
              <w:rPr>
                <w:rFonts w:cstheme="minorHAnsi"/>
                <w:b/>
                <w:sz w:val="20"/>
                <w:szCs w:val="20"/>
              </w:rPr>
              <w:t>194 students</w:t>
            </w:r>
          </w:p>
        </w:tc>
        <w:tc>
          <w:tcPr>
            <w:tcW w:w="3330" w:type="dxa"/>
          </w:tcPr>
          <w:p w:rsidR="003806D1" w:rsidRPr="00F81EB6" w:rsidRDefault="003806D1" w:rsidP="00612B11">
            <w:pPr>
              <w:spacing w:before="100" w:beforeAutospacing="1" w:after="100" w:afterAutospacing="1"/>
              <w:contextualSpacing/>
              <w:rPr>
                <w:rFonts w:cstheme="minorHAnsi"/>
                <w:b/>
                <w:sz w:val="20"/>
                <w:szCs w:val="20"/>
              </w:rPr>
            </w:pPr>
            <w:r w:rsidRPr="00F81EB6">
              <w:rPr>
                <w:rFonts w:cstheme="minorHAnsi"/>
                <w:b/>
                <w:sz w:val="20"/>
                <w:szCs w:val="20"/>
              </w:rPr>
              <w:t>Alerts submitted to TLC=1833</w:t>
            </w:r>
          </w:p>
          <w:p w:rsidR="003806D1" w:rsidRPr="00944044" w:rsidRDefault="003806D1" w:rsidP="00612B11">
            <w:pPr>
              <w:spacing w:before="100" w:beforeAutospacing="1" w:after="100" w:afterAutospacing="1"/>
              <w:contextualSpacing/>
              <w:rPr>
                <w:rFonts w:cstheme="minorHAnsi"/>
                <w:b/>
                <w:sz w:val="16"/>
                <w:szCs w:val="16"/>
              </w:rPr>
            </w:pPr>
            <w:r w:rsidRPr="00944044">
              <w:rPr>
                <w:rFonts w:cstheme="minorHAnsi"/>
                <w:b/>
                <w:sz w:val="16"/>
                <w:szCs w:val="16"/>
              </w:rPr>
              <w:t>Consultations with students =</w:t>
            </w:r>
            <w:r w:rsidR="00944044">
              <w:rPr>
                <w:rFonts w:cstheme="minorHAnsi"/>
                <w:b/>
                <w:sz w:val="16"/>
                <w:szCs w:val="16"/>
              </w:rPr>
              <w:t xml:space="preserve"> </w:t>
            </w:r>
            <w:r w:rsidRPr="00F81EB6">
              <w:rPr>
                <w:rFonts w:cstheme="minorHAnsi"/>
                <w:b/>
                <w:sz w:val="20"/>
                <w:szCs w:val="20"/>
              </w:rPr>
              <w:t>177 students</w:t>
            </w:r>
          </w:p>
        </w:tc>
      </w:tr>
      <w:tr w:rsidR="003806D1" w:rsidRPr="00B27F6D" w:rsidTr="00AC15CB">
        <w:tc>
          <w:tcPr>
            <w:tcW w:w="2808" w:type="dxa"/>
            <w:shd w:val="clear" w:color="auto" w:fill="DBE5F1" w:themeFill="accent1" w:themeFillTint="33"/>
          </w:tcPr>
          <w:p w:rsidR="003806D1" w:rsidRPr="00F81EB6" w:rsidRDefault="003806D1" w:rsidP="00612B11">
            <w:pPr>
              <w:spacing w:before="100" w:beforeAutospacing="1" w:after="100" w:afterAutospacing="1"/>
              <w:contextualSpacing/>
              <w:rPr>
                <w:rFonts w:eastAsia="Times New Roman" w:cstheme="minorHAnsi"/>
                <w:sz w:val="20"/>
                <w:szCs w:val="20"/>
              </w:rPr>
            </w:pPr>
            <w:r w:rsidRPr="00F81EB6">
              <w:rPr>
                <w:rFonts w:eastAsia="Times New Roman" w:cstheme="minorHAnsi"/>
                <w:sz w:val="20"/>
                <w:szCs w:val="20"/>
              </w:rPr>
              <w:t>Academic Success Coaching</w:t>
            </w:r>
          </w:p>
        </w:tc>
        <w:tc>
          <w:tcPr>
            <w:tcW w:w="3330" w:type="dxa"/>
          </w:tcPr>
          <w:p w:rsidR="003806D1" w:rsidRPr="00F81EB6" w:rsidRDefault="003806D1" w:rsidP="00612B11">
            <w:pPr>
              <w:spacing w:before="100" w:beforeAutospacing="1" w:after="100" w:afterAutospacing="1"/>
              <w:contextualSpacing/>
              <w:rPr>
                <w:rFonts w:eastAsia="Times New Roman" w:cstheme="minorHAnsi"/>
                <w:b/>
                <w:sz w:val="20"/>
                <w:szCs w:val="20"/>
              </w:rPr>
            </w:pPr>
            <w:r w:rsidRPr="00F81EB6">
              <w:rPr>
                <w:rFonts w:eastAsia="Times New Roman" w:cstheme="minorHAnsi"/>
                <w:b/>
                <w:sz w:val="20"/>
                <w:szCs w:val="20"/>
              </w:rPr>
              <w:t>2685 sessions</w:t>
            </w:r>
            <w:r w:rsidR="00AC15CB">
              <w:rPr>
                <w:rFonts w:eastAsia="Times New Roman" w:cstheme="minorHAnsi"/>
                <w:b/>
                <w:sz w:val="20"/>
                <w:szCs w:val="20"/>
              </w:rPr>
              <w:t xml:space="preserve">                    </w:t>
            </w:r>
            <w:r w:rsidRPr="00F81EB6">
              <w:rPr>
                <w:rFonts w:eastAsia="Times New Roman" w:cstheme="minorHAnsi"/>
                <w:b/>
                <w:sz w:val="20"/>
                <w:szCs w:val="20"/>
              </w:rPr>
              <w:t>591 students</w:t>
            </w:r>
          </w:p>
        </w:tc>
        <w:tc>
          <w:tcPr>
            <w:tcW w:w="3330" w:type="dxa"/>
          </w:tcPr>
          <w:p w:rsidR="003806D1" w:rsidRPr="00F81EB6" w:rsidRDefault="00AC15CB" w:rsidP="00612B11">
            <w:pPr>
              <w:spacing w:before="100" w:beforeAutospacing="1" w:after="100" w:afterAutospacing="1"/>
              <w:contextualSpacing/>
              <w:rPr>
                <w:rFonts w:eastAsia="Times New Roman" w:cstheme="minorHAnsi"/>
                <w:b/>
                <w:sz w:val="20"/>
                <w:szCs w:val="20"/>
              </w:rPr>
            </w:pPr>
            <w:r>
              <w:rPr>
                <w:rFonts w:eastAsia="Times New Roman" w:cstheme="minorHAnsi"/>
                <w:b/>
                <w:sz w:val="20"/>
                <w:szCs w:val="20"/>
              </w:rPr>
              <w:t xml:space="preserve">3274 sessions                    </w:t>
            </w:r>
            <w:r w:rsidR="003806D1" w:rsidRPr="00F81EB6">
              <w:rPr>
                <w:rFonts w:eastAsia="Times New Roman" w:cstheme="minorHAnsi"/>
                <w:b/>
                <w:sz w:val="20"/>
                <w:szCs w:val="20"/>
              </w:rPr>
              <w:t>681 students</w:t>
            </w:r>
          </w:p>
        </w:tc>
      </w:tr>
      <w:tr w:rsidR="003806D1" w:rsidRPr="00B27F6D" w:rsidTr="00AC15CB">
        <w:tc>
          <w:tcPr>
            <w:tcW w:w="2808" w:type="dxa"/>
            <w:shd w:val="clear" w:color="auto" w:fill="DBE5F1" w:themeFill="accent1" w:themeFillTint="33"/>
          </w:tcPr>
          <w:p w:rsidR="003806D1" w:rsidRPr="00AC15CB" w:rsidRDefault="003806D1" w:rsidP="00612B11">
            <w:pPr>
              <w:spacing w:before="100" w:beforeAutospacing="1" w:after="100" w:afterAutospacing="1"/>
              <w:contextualSpacing/>
              <w:rPr>
                <w:rFonts w:eastAsia="Times New Roman" w:cstheme="minorHAnsi"/>
                <w:sz w:val="16"/>
                <w:szCs w:val="16"/>
              </w:rPr>
            </w:pPr>
            <w:r w:rsidRPr="00AC15CB">
              <w:rPr>
                <w:rFonts w:eastAsia="Times New Roman" w:cstheme="minorHAnsi"/>
                <w:sz w:val="16"/>
                <w:szCs w:val="16"/>
              </w:rPr>
              <w:t>Making the Deans’ List Seminar and Individual TLC Workshop interventions</w:t>
            </w:r>
            <w:r w:rsidR="00F81EB6" w:rsidRPr="00AC15CB">
              <w:rPr>
                <w:rFonts w:eastAsia="Times New Roman" w:cstheme="minorHAnsi"/>
                <w:sz w:val="16"/>
                <w:szCs w:val="16"/>
              </w:rPr>
              <w:t xml:space="preserve"> (successful completion)</w:t>
            </w:r>
          </w:p>
        </w:tc>
        <w:tc>
          <w:tcPr>
            <w:tcW w:w="3330" w:type="dxa"/>
          </w:tcPr>
          <w:p w:rsidR="003806D1" w:rsidRPr="00F81EB6" w:rsidRDefault="003806D1" w:rsidP="00612B11">
            <w:pPr>
              <w:spacing w:before="100" w:beforeAutospacing="1" w:after="100" w:afterAutospacing="1"/>
              <w:contextualSpacing/>
              <w:jc w:val="right"/>
              <w:rPr>
                <w:rFonts w:eastAsia="Times New Roman" w:cstheme="minorHAnsi"/>
                <w:b/>
                <w:sz w:val="20"/>
                <w:szCs w:val="20"/>
              </w:rPr>
            </w:pPr>
            <w:r w:rsidRPr="00F81EB6">
              <w:rPr>
                <w:rFonts w:eastAsia="Times New Roman" w:cstheme="minorHAnsi"/>
                <w:b/>
                <w:sz w:val="20"/>
                <w:szCs w:val="20"/>
              </w:rPr>
              <w:t>65 students</w:t>
            </w:r>
          </w:p>
        </w:tc>
        <w:tc>
          <w:tcPr>
            <w:tcW w:w="3330" w:type="dxa"/>
          </w:tcPr>
          <w:p w:rsidR="003806D1" w:rsidRPr="00F81EB6" w:rsidRDefault="00F81EB6" w:rsidP="00612B11">
            <w:pPr>
              <w:spacing w:before="100" w:beforeAutospacing="1" w:after="100" w:afterAutospacing="1"/>
              <w:contextualSpacing/>
              <w:jc w:val="right"/>
              <w:rPr>
                <w:rFonts w:eastAsia="Times New Roman" w:cstheme="minorHAnsi"/>
                <w:b/>
                <w:sz w:val="20"/>
                <w:szCs w:val="20"/>
              </w:rPr>
            </w:pPr>
            <w:r w:rsidRPr="00F81EB6">
              <w:rPr>
                <w:rFonts w:eastAsia="Times New Roman" w:cstheme="minorHAnsi"/>
                <w:b/>
                <w:sz w:val="20"/>
                <w:szCs w:val="20"/>
              </w:rPr>
              <w:t>111</w:t>
            </w:r>
            <w:r w:rsidR="003806D1" w:rsidRPr="00F81EB6">
              <w:rPr>
                <w:rFonts w:eastAsia="Times New Roman" w:cstheme="minorHAnsi"/>
                <w:b/>
                <w:sz w:val="20"/>
                <w:szCs w:val="20"/>
              </w:rPr>
              <w:t xml:space="preserve"> students</w:t>
            </w:r>
          </w:p>
        </w:tc>
      </w:tr>
      <w:tr w:rsidR="003806D1" w:rsidRPr="00B27F6D" w:rsidTr="00AC15CB">
        <w:trPr>
          <w:trHeight w:val="502"/>
        </w:trPr>
        <w:tc>
          <w:tcPr>
            <w:tcW w:w="2808" w:type="dxa"/>
            <w:shd w:val="clear" w:color="auto" w:fill="DBE5F1" w:themeFill="accent1" w:themeFillTint="33"/>
          </w:tcPr>
          <w:p w:rsidR="003806D1" w:rsidRPr="00F81EB6" w:rsidRDefault="003806D1" w:rsidP="00612B11">
            <w:pPr>
              <w:spacing w:before="100" w:beforeAutospacing="1" w:after="100" w:afterAutospacing="1"/>
              <w:contextualSpacing/>
              <w:rPr>
                <w:rFonts w:eastAsia="Times New Roman" w:cstheme="minorHAnsi"/>
                <w:sz w:val="20"/>
                <w:szCs w:val="20"/>
              </w:rPr>
            </w:pPr>
            <w:r w:rsidRPr="00F81EB6">
              <w:rPr>
                <w:rFonts w:eastAsia="Times New Roman" w:cstheme="minorHAnsi"/>
                <w:sz w:val="20"/>
                <w:szCs w:val="20"/>
              </w:rPr>
              <w:t>Tutoring Lab Activity</w:t>
            </w:r>
          </w:p>
          <w:p w:rsidR="003806D1" w:rsidRPr="00F81EB6" w:rsidRDefault="003806D1" w:rsidP="00612B11">
            <w:pPr>
              <w:spacing w:before="100" w:beforeAutospacing="1" w:after="100" w:afterAutospacing="1"/>
              <w:contextualSpacing/>
              <w:rPr>
                <w:rFonts w:eastAsia="Times New Roman" w:cstheme="minorHAnsi"/>
                <w:sz w:val="20"/>
                <w:szCs w:val="20"/>
              </w:rPr>
            </w:pPr>
            <w:r w:rsidRPr="00F81EB6">
              <w:rPr>
                <w:rFonts w:eastAsia="Times New Roman" w:cstheme="minorHAnsi"/>
                <w:sz w:val="20"/>
                <w:szCs w:val="20"/>
              </w:rPr>
              <w:t>Tutoring and Tutor Training</w:t>
            </w:r>
          </w:p>
        </w:tc>
        <w:tc>
          <w:tcPr>
            <w:tcW w:w="3330" w:type="dxa"/>
          </w:tcPr>
          <w:p w:rsidR="003806D1" w:rsidRPr="00F81EB6" w:rsidRDefault="00AC15CB" w:rsidP="00612B11">
            <w:pPr>
              <w:spacing w:before="100" w:beforeAutospacing="1" w:after="100" w:afterAutospacing="1"/>
              <w:contextualSpacing/>
              <w:rPr>
                <w:rFonts w:cstheme="minorHAnsi"/>
                <w:b/>
                <w:sz w:val="20"/>
                <w:szCs w:val="20"/>
              </w:rPr>
            </w:pPr>
            <w:r>
              <w:rPr>
                <w:rFonts w:cstheme="minorHAnsi"/>
                <w:b/>
                <w:sz w:val="20"/>
                <w:szCs w:val="20"/>
              </w:rPr>
              <w:t>Tutor</w:t>
            </w:r>
            <w:r w:rsidR="003806D1" w:rsidRPr="00F81EB6">
              <w:rPr>
                <w:rFonts w:cstheme="minorHAnsi"/>
                <w:b/>
                <w:sz w:val="20"/>
                <w:szCs w:val="20"/>
              </w:rPr>
              <w:t xml:space="preserve"> Visi</w:t>
            </w:r>
            <w:r>
              <w:rPr>
                <w:rFonts w:cstheme="minorHAnsi"/>
                <w:b/>
                <w:sz w:val="20"/>
                <w:szCs w:val="20"/>
              </w:rPr>
              <w:t xml:space="preserve">ts=5618     </w:t>
            </w:r>
            <w:r w:rsidR="00944044">
              <w:rPr>
                <w:rFonts w:cstheme="minorHAnsi"/>
                <w:b/>
                <w:sz w:val="20"/>
                <w:szCs w:val="20"/>
              </w:rPr>
              <w:t xml:space="preserve">     </w:t>
            </w:r>
            <w:r w:rsidR="003806D1" w:rsidRPr="00F81EB6">
              <w:rPr>
                <w:rFonts w:cstheme="minorHAnsi"/>
                <w:b/>
                <w:sz w:val="20"/>
                <w:szCs w:val="20"/>
              </w:rPr>
              <w:t>1282 students</w:t>
            </w:r>
          </w:p>
          <w:p w:rsidR="003806D1" w:rsidRPr="00F81EB6" w:rsidRDefault="003806D1" w:rsidP="00612B11">
            <w:pPr>
              <w:spacing w:before="100" w:beforeAutospacing="1" w:after="100" w:afterAutospacing="1"/>
              <w:contextualSpacing/>
              <w:rPr>
                <w:rFonts w:cstheme="minorHAnsi"/>
                <w:b/>
                <w:sz w:val="20"/>
                <w:szCs w:val="20"/>
              </w:rPr>
            </w:pPr>
            <w:r w:rsidRPr="00F81EB6">
              <w:rPr>
                <w:rFonts w:cstheme="minorHAnsi"/>
                <w:b/>
                <w:sz w:val="20"/>
                <w:szCs w:val="20"/>
              </w:rPr>
              <w:t xml:space="preserve">75 Peer Tutors </w:t>
            </w:r>
            <w:r w:rsidRPr="00944044">
              <w:rPr>
                <w:rFonts w:cstheme="minorHAnsi"/>
                <w:b/>
                <w:sz w:val="16"/>
                <w:szCs w:val="16"/>
              </w:rPr>
              <w:t>received CRLA training</w:t>
            </w:r>
          </w:p>
        </w:tc>
        <w:tc>
          <w:tcPr>
            <w:tcW w:w="3330" w:type="dxa"/>
          </w:tcPr>
          <w:p w:rsidR="003806D1" w:rsidRPr="00F81EB6" w:rsidRDefault="003806D1" w:rsidP="00612B11">
            <w:pPr>
              <w:spacing w:before="100" w:beforeAutospacing="1" w:after="100" w:afterAutospacing="1"/>
              <w:contextualSpacing/>
              <w:rPr>
                <w:rFonts w:cstheme="minorHAnsi"/>
                <w:b/>
                <w:sz w:val="20"/>
                <w:szCs w:val="20"/>
              </w:rPr>
            </w:pPr>
            <w:r w:rsidRPr="00F81EB6">
              <w:rPr>
                <w:rFonts w:cstheme="minorHAnsi"/>
                <w:b/>
                <w:sz w:val="20"/>
                <w:szCs w:val="20"/>
              </w:rPr>
              <w:t>Tutor Visits =5835</w:t>
            </w:r>
            <w:r w:rsidR="00AC15CB">
              <w:rPr>
                <w:rFonts w:cstheme="minorHAnsi"/>
                <w:b/>
                <w:sz w:val="20"/>
                <w:szCs w:val="20"/>
              </w:rPr>
              <w:t xml:space="preserve">         </w:t>
            </w:r>
            <w:r w:rsidRPr="00F81EB6">
              <w:rPr>
                <w:rFonts w:cstheme="minorHAnsi"/>
                <w:b/>
                <w:sz w:val="20"/>
                <w:szCs w:val="20"/>
              </w:rPr>
              <w:t>1952 students</w:t>
            </w:r>
          </w:p>
          <w:p w:rsidR="003806D1" w:rsidRPr="00F81EB6" w:rsidRDefault="003806D1" w:rsidP="00612B11">
            <w:pPr>
              <w:spacing w:before="100" w:beforeAutospacing="1" w:after="100" w:afterAutospacing="1"/>
              <w:contextualSpacing/>
              <w:rPr>
                <w:rFonts w:cstheme="minorHAnsi"/>
                <w:b/>
                <w:sz w:val="20"/>
                <w:szCs w:val="20"/>
              </w:rPr>
            </w:pPr>
            <w:r w:rsidRPr="00F81EB6">
              <w:rPr>
                <w:rFonts w:cstheme="minorHAnsi"/>
                <w:b/>
                <w:sz w:val="20"/>
                <w:szCs w:val="20"/>
              </w:rPr>
              <w:t xml:space="preserve">53 Peer Tutors </w:t>
            </w:r>
            <w:r w:rsidRPr="00944044">
              <w:rPr>
                <w:rFonts w:cstheme="minorHAnsi"/>
                <w:b/>
                <w:sz w:val="16"/>
                <w:szCs w:val="16"/>
              </w:rPr>
              <w:t>received CRLA training</w:t>
            </w:r>
          </w:p>
        </w:tc>
      </w:tr>
      <w:tr w:rsidR="003806D1" w:rsidRPr="00B27F6D" w:rsidTr="00AC15CB">
        <w:tc>
          <w:tcPr>
            <w:tcW w:w="2808" w:type="dxa"/>
            <w:shd w:val="clear" w:color="auto" w:fill="DBE5F1" w:themeFill="accent1" w:themeFillTint="33"/>
          </w:tcPr>
          <w:p w:rsidR="003806D1" w:rsidRPr="00F81EB6" w:rsidRDefault="003806D1" w:rsidP="00612B11">
            <w:pPr>
              <w:spacing w:before="100" w:beforeAutospacing="1" w:after="100" w:afterAutospacing="1"/>
              <w:contextualSpacing/>
              <w:rPr>
                <w:rFonts w:eastAsia="Times New Roman" w:cstheme="minorHAnsi"/>
                <w:sz w:val="20"/>
                <w:szCs w:val="20"/>
              </w:rPr>
            </w:pPr>
            <w:r w:rsidRPr="00F81EB6">
              <w:rPr>
                <w:rFonts w:eastAsia="Times New Roman" w:cstheme="minorHAnsi"/>
                <w:sz w:val="20"/>
                <w:szCs w:val="20"/>
              </w:rPr>
              <w:t>eTutoring sessions</w:t>
            </w:r>
          </w:p>
        </w:tc>
        <w:tc>
          <w:tcPr>
            <w:tcW w:w="3330" w:type="dxa"/>
          </w:tcPr>
          <w:p w:rsidR="003806D1" w:rsidRPr="00F81EB6" w:rsidRDefault="003806D1" w:rsidP="00612B11">
            <w:pPr>
              <w:spacing w:before="100" w:beforeAutospacing="1" w:after="100" w:afterAutospacing="1"/>
              <w:contextualSpacing/>
              <w:rPr>
                <w:rFonts w:cstheme="minorHAnsi"/>
                <w:b/>
                <w:sz w:val="20"/>
                <w:szCs w:val="20"/>
              </w:rPr>
            </w:pPr>
            <w:r w:rsidRPr="00F81EB6">
              <w:rPr>
                <w:rFonts w:cstheme="minorHAnsi"/>
                <w:b/>
                <w:sz w:val="20"/>
                <w:szCs w:val="20"/>
              </w:rPr>
              <w:t>725 sessions</w:t>
            </w:r>
            <w:r w:rsidR="00944044">
              <w:rPr>
                <w:rFonts w:cstheme="minorHAnsi"/>
                <w:b/>
                <w:sz w:val="20"/>
                <w:szCs w:val="20"/>
              </w:rPr>
              <w:t xml:space="preserve">                      </w:t>
            </w:r>
            <w:r w:rsidRPr="00F81EB6">
              <w:rPr>
                <w:rFonts w:cstheme="minorHAnsi"/>
                <w:b/>
                <w:sz w:val="20"/>
                <w:szCs w:val="20"/>
              </w:rPr>
              <w:t>293 students</w:t>
            </w:r>
          </w:p>
        </w:tc>
        <w:tc>
          <w:tcPr>
            <w:tcW w:w="3330" w:type="dxa"/>
          </w:tcPr>
          <w:p w:rsidR="003806D1" w:rsidRPr="00F81EB6" w:rsidRDefault="00944044" w:rsidP="00612B11">
            <w:pPr>
              <w:spacing w:before="100" w:beforeAutospacing="1" w:after="100" w:afterAutospacing="1"/>
              <w:contextualSpacing/>
              <w:rPr>
                <w:rFonts w:cstheme="minorHAnsi"/>
                <w:b/>
                <w:sz w:val="20"/>
                <w:szCs w:val="20"/>
              </w:rPr>
            </w:pPr>
            <w:r>
              <w:rPr>
                <w:rFonts w:cstheme="minorHAnsi"/>
                <w:b/>
                <w:sz w:val="20"/>
                <w:szCs w:val="20"/>
              </w:rPr>
              <w:t xml:space="preserve">479 sessions                      </w:t>
            </w:r>
            <w:r w:rsidR="003806D1" w:rsidRPr="00F81EB6">
              <w:rPr>
                <w:rFonts w:cstheme="minorHAnsi"/>
                <w:b/>
                <w:sz w:val="20"/>
                <w:szCs w:val="20"/>
              </w:rPr>
              <w:t xml:space="preserve">215 students </w:t>
            </w:r>
          </w:p>
        </w:tc>
      </w:tr>
      <w:tr w:rsidR="003806D1" w:rsidRPr="00B27F6D" w:rsidTr="00AC15CB">
        <w:tc>
          <w:tcPr>
            <w:tcW w:w="2808" w:type="dxa"/>
            <w:shd w:val="clear" w:color="auto" w:fill="DBE5F1" w:themeFill="accent1" w:themeFillTint="33"/>
          </w:tcPr>
          <w:p w:rsidR="003806D1" w:rsidRPr="00944044" w:rsidRDefault="003806D1" w:rsidP="008324B6">
            <w:pPr>
              <w:spacing w:before="100" w:beforeAutospacing="1" w:after="100" w:afterAutospacing="1"/>
              <w:contextualSpacing/>
              <w:rPr>
                <w:rFonts w:eastAsia="Times New Roman" w:cstheme="minorHAnsi"/>
                <w:sz w:val="16"/>
                <w:szCs w:val="16"/>
              </w:rPr>
            </w:pPr>
            <w:r w:rsidRPr="00944044">
              <w:rPr>
                <w:rFonts w:eastAsia="Times New Roman" w:cstheme="minorHAnsi"/>
                <w:sz w:val="16"/>
                <w:szCs w:val="16"/>
              </w:rPr>
              <w:t>New Programs: Peer Assi</w:t>
            </w:r>
            <w:r w:rsidR="00944044">
              <w:rPr>
                <w:rFonts w:eastAsia="Times New Roman" w:cstheme="minorHAnsi"/>
                <w:sz w:val="16"/>
                <w:szCs w:val="16"/>
              </w:rPr>
              <w:t>sted Study Sessions (PASS</w:t>
            </w:r>
            <w:r w:rsidRPr="00944044">
              <w:rPr>
                <w:rFonts w:eastAsia="Times New Roman" w:cstheme="minorHAnsi"/>
                <w:sz w:val="16"/>
                <w:szCs w:val="16"/>
              </w:rPr>
              <w:t>) and Structured Learning Assistance Meetings</w:t>
            </w:r>
            <w:r w:rsidR="008324B6">
              <w:rPr>
                <w:rFonts w:eastAsia="Times New Roman" w:cstheme="minorHAnsi"/>
                <w:sz w:val="16"/>
                <w:szCs w:val="16"/>
              </w:rPr>
              <w:t xml:space="preserve"> (SLAMs)</w:t>
            </w:r>
          </w:p>
        </w:tc>
        <w:tc>
          <w:tcPr>
            <w:tcW w:w="3330" w:type="dxa"/>
          </w:tcPr>
          <w:p w:rsidR="003806D1" w:rsidRPr="00F81EB6" w:rsidRDefault="00F81EB6" w:rsidP="00612B11">
            <w:pPr>
              <w:spacing w:before="100" w:beforeAutospacing="1" w:after="100" w:afterAutospacing="1"/>
              <w:contextualSpacing/>
              <w:jc w:val="right"/>
              <w:rPr>
                <w:rFonts w:cstheme="minorHAnsi"/>
                <w:b/>
                <w:sz w:val="20"/>
                <w:szCs w:val="20"/>
              </w:rPr>
            </w:pPr>
            <w:r w:rsidRPr="00F81EB6">
              <w:rPr>
                <w:rFonts w:cstheme="minorHAnsi"/>
                <w:b/>
                <w:sz w:val="20"/>
                <w:szCs w:val="20"/>
              </w:rPr>
              <w:t>Not off</w:t>
            </w:r>
            <w:r w:rsidR="008324B6">
              <w:rPr>
                <w:rFonts w:cstheme="minorHAnsi"/>
                <w:b/>
                <w:sz w:val="20"/>
                <w:szCs w:val="20"/>
              </w:rPr>
              <w:t>er</w:t>
            </w:r>
            <w:r w:rsidRPr="00F81EB6">
              <w:rPr>
                <w:rFonts w:cstheme="minorHAnsi"/>
                <w:b/>
                <w:sz w:val="20"/>
                <w:szCs w:val="20"/>
              </w:rPr>
              <w:t>ed</w:t>
            </w:r>
          </w:p>
        </w:tc>
        <w:tc>
          <w:tcPr>
            <w:tcW w:w="3330" w:type="dxa"/>
          </w:tcPr>
          <w:p w:rsidR="003806D1" w:rsidRPr="00F81EB6" w:rsidRDefault="003806D1" w:rsidP="00612B11">
            <w:pPr>
              <w:spacing w:before="100" w:beforeAutospacing="1" w:after="100" w:afterAutospacing="1"/>
              <w:contextualSpacing/>
              <w:jc w:val="right"/>
              <w:rPr>
                <w:rFonts w:cstheme="minorHAnsi"/>
                <w:b/>
                <w:sz w:val="20"/>
                <w:szCs w:val="20"/>
              </w:rPr>
            </w:pPr>
            <w:r w:rsidRPr="00F81EB6">
              <w:rPr>
                <w:rFonts w:cstheme="minorHAnsi"/>
                <w:b/>
                <w:sz w:val="20"/>
                <w:szCs w:val="20"/>
              </w:rPr>
              <w:t>162 students</w:t>
            </w:r>
          </w:p>
        </w:tc>
      </w:tr>
      <w:tr w:rsidR="003806D1" w:rsidRPr="00B27F6D" w:rsidTr="00AC15CB">
        <w:tc>
          <w:tcPr>
            <w:tcW w:w="2808" w:type="dxa"/>
            <w:shd w:val="clear" w:color="auto" w:fill="DBE5F1" w:themeFill="accent1" w:themeFillTint="33"/>
          </w:tcPr>
          <w:p w:rsidR="003806D1" w:rsidRPr="00F81EB6" w:rsidRDefault="003806D1" w:rsidP="00612B11">
            <w:pPr>
              <w:spacing w:before="100" w:beforeAutospacing="1" w:after="100" w:afterAutospacing="1"/>
              <w:contextualSpacing/>
              <w:rPr>
                <w:rFonts w:eastAsia="Times New Roman" w:cstheme="minorHAnsi"/>
                <w:sz w:val="20"/>
                <w:szCs w:val="20"/>
              </w:rPr>
            </w:pPr>
            <w:r w:rsidRPr="00F81EB6">
              <w:rPr>
                <w:rFonts w:eastAsia="Times New Roman" w:cstheme="minorHAnsi"/>
                <w:sz w:val="20"/>
                <w:szCs w:val="20"/>
              </w:rPr>
              <w:t>Placement tests administered</w:t>
            </w:r>
          </w:p>
        </w:tc>
        <w:tc>
          <w:tcPr>
            <w:tcW w:w="3330" w:type="dxa"/>
          </w:tcPr>
          <w:p w:rsidR="003806D1" w:rsidRPr="00F81EB6" w:rsidRDefault="003806D1" w:rsidP="00612B11">
            <w:pPr>
              <w:spacing w:before="100" w:beforeAutospacing="1" w:after="100" w:afterAutospacing="1"/>
              <w:contextualSpacing/>
              <w:jc w:val="right"/>
              <w:rPr>
                <w:rFonts w:cstheme="minorHAnsi"/>
                <w:b/>
                <w:sz w:val="20"/>
                <w:szCs w:val="20"/>
              </w:rPr>
            </w:pPr>
            <w:r w:rsidRPr="00F81EB6">
              <w:rPr>
                <w:rFonts w:cstheme="minorHAnsi"/>
                <w:b/>
                <w:sz w:val="20"/>
                <w:szCs w:val="20"/>
              </w:rPr>
              <w:t>473</w:t>
            </w:r>
          </w:p>
        </w:tc>
        <w:tc>
          <w:tcPr>
            <w:tcW w:w="3330" w:type="dxa"/>
          </w:tcPr>
          <w:p w:rsidR="003806D1" w:rsidRPr="00F81EB6" w:rsidRDefault="003806D1" w:rsidP="00612B11">
            <w:pPr>
              <w:spacing w:before="100" w:beforeAutospacing="1" w:after="100" w:afterAutospacing="1"/>
              <w:contextualSpacing/>
              <w:jc w:val="right"/>
              <w:rPr>
                <w:rFonts w:cstheme="minorHAnsi"/>
                <w:b/>
                <w:sz w:val="20"/>
                <w:szCs w:val="20"/>
              </w:rPr>
            </w:pPr>
            <w:r w:rsidRPr="00F81EB6">
              <w:rPr>
                <w:rFonts w:cstheme="minorHAnsi"/>
                <w:b/>
                <w:sz w:val="20"/>
                <w:szCs w:val="20"/>
              </w:rPr>
              <w:t>553</w:t>
            </w:r>
          </w:p>
        </w:tc>
      </w:tr>
    </w:tbl>
    <w:p w:rsidR="002620DD" w:rsidRPr="001D1809" w:rsidRDefault="001D1809" w:rsidP="00612B11">
      <w:pPr>
        <w:spacing w:before="100" w:beforeAutospacing="1" w:after="100" w:afterAutospacing="1" w:line="240" w:lineRule="auto"/>
        <w:contextualSpacing/>
        <w:rPr>
          <w:bCs/>
          <w:iCs/>
          <w:sz w:val="18"/>
          <w:szCs w:val="18"/>
        </w:rPr>
      </w:pPr>
      <w:r>
        <w:rPr>
          <w:b/>
          <w:bCs/>
          <w:iCs/>
          <w:sz w:val="24"/>
          <w:szCs w:val="24"/>
        </w:rPr>
        <w:t>*</w:t>
      </w:r>
      <w:r>
        <w:rPr>
          <w:bCs/>
          <w:iCs/>
          <w:sz w:val="18"/>
          <w:szCs w:val="18"/>
        </w:rPr>
        <w:t xml:space="preserve">Students may have participated in multiple services and have been counted more than once. </w:t>
      </w:r>
    </w:p>
    <w:p w:rsidR="002620DD" w:rsidRPr="002620DD" w:rsidRDefault="00B87B4D" w:rsidP="002620DD">
      <w:pPr>
        <w:pStyle w:val="ListParagraph"/>
        <w:numPr>
          <w:ilvl w:val="0"/>
          <w:numId w:val="27"/>
        </w:numPr>
        <w:spacing w:before="100" w:beforeAutospacing="1" w:after="100" w:afterAutospacing="1" w:line="240" w:lineRule="auto"/>
        <w:jc w:val="center"/>
        <w:rPr>
          <w:b/>
        </w:rPr>
      </w:pPr>
      <w:r w:rsidRPr="002620DD">
        <w:rPr>
          <w:b/>
        </w:rPr>
        <w:t>P</w:t>
      </w:r>
      <w:r w:rsidR="00C4378C" w:rsidRPr="002620DD">
        <w:rPr>
          <w:b/>
        </w:rPr>
        <w:t>rogress in Meeting Annual Goals</w:t>
      </w:r>
    </w:p>
    <w:p w:rsidR="00630B0C" w:rsidRPr="00EE63D8" w:rsidRDefault="00B87B4D" w:rsidP="00612B11">
      <w:pPr>
        <w:spacing w:before="100" w:beforeAutospacing="1" w:after="100" w:afterAutospacing="1" w:line="240" w:lineRule="auto"/>
        <w:contextualSpacing/>
      </w:pPr>
      <w:r w:rsidRPr="00EE63D8">
        <w:rPr>
          <w:b/>
        </w:rPr>
        <w:t>Goal:</w:t>
      </w:r>
      <w:r w:rsidRPr="00EE63D8">
        <w:t xml:space="preserve"> Pilot a modified Supplemental Instruction</w:t>
      </w:r>
      <w:r w:rsidR="00C26937" w:rsidRPr="00EE63D8">
        <w:t xml:space="preserve"> (SI)</w:t>
      </w:r>
      <w:r w:rsidRPr="00EE63D8">
        <w:t xml:space="preserve"> program which supports all of the Chemistry 161 sections.</w:t>
      </w:r>
      <w:r w:rsidR="001B0654" w:rsidRPr="00EE63D8">
        <w:t xml:space="preserve"> </w:t>
      </w:r>
      <w:r w:rsidR="00DB7295" w:rsidRPr="00EE63D8">
        <w:t xml:space="preserve">Hire, train and develop delivery structure for </w:t>
      </w:r>
      <w:r w:rsidR="001B0654" w:rsidRPr="00EE63D8">
        <w:t>Peer Assisted Study Sessions</w:t>
      </w:r>
      <w:r w:rsidR="00DB7295" w:rsidRPr="00EE63D8">
        <w:t xml:space="preserve"> </w:t>
      </w:r>
      <w:r w:rsidRPr="00EE63D8">
        <w:t>(PASS)</w:t>
      </w:r>
      <w:r w:rsidR="00DB7295" w:rsidRPr="00EE63D8">
        <w:t xml:space="preserve"> for all sections of Chemistry 161. </w:t>
      </w:r>
    </w:p>
    <w:p w:rsidR="001D126A" w:rsidRDefault="00B87B4D" w:rsidP="00612B11">
      <w:pPr>
        <w:spacing w:before="100" w:beforeAutospacing="1" w:after="100" w:afterAutospacing="1" w:line="240" w:lineRule="auto"/>
        <w:contextualSpacing/>
      </w:pPr>
      <w:r w:rsidRPr="00EE63D8">
        <w:rPr>
          <w:b/>
          <w:bCs/>
        </w:rPr>
        <w:t xml:space="preserve">Completed: </w:t>
      </w:r>
      <w:r w:rsidR="00C4378C" w:rsidRPr="00EE63D8">
        <w:rPr>
          <w:b/>
          <w:bCs/>
        </w:rPr>
        <w:t xml:space="preserve"> </w:t>
      </w:r>
      <w:r w:rsidR="00DB7295" w:rsidRPr="00EE63D8">
        <w:rPr>
          <w:bCs/>
        </w:rPr>
        <w:t xml:space="preserve">The Peer Assisted Study Session (PASS) program </w:t>
      </w:r>
      <w:r w:rsidR="008324B6">
        <w:rPr>
          <w:bCs/>
        </w:rPr>
        <w:t>was piloted in the F</w:t>
      </w:r>
      <w:r w:rsidRPr="00EE63D8">
        <w:rPr>
          <w:bCs/>
        </w:rPr>
        <w:t>all 2014 semester for all six sections of CHEM 161.</w:t>
      </w:r>
      <w:r w:rsidR="001B0654" w:rsidRPr="00EE63D8">
        <w:rPr>
          <w:bCs/>
        </w:rPr>
        <w:t xml:space="preserve"> </w:t>
      </w:r>
      <w:r w:rsidR="008324B6">
        <w:rPr>
          <w:bCs/>
        </w:rPr>
        <w:t xml:space="preserve"> PASS Leaders</w:t>
      </w:r>
      <w:r w:rsidRPr="00EE63D8">
        <w:rPr>
          <w:bCs/>
        </w:rPr>
        <w:t xml:space="preserve"> reported</w:t>
      </w:r>
      <w:r w:rsidR="009D1FBD">
        <w:rPr>
          <w:bCs/>
        </w:rPr>
        <w:t xml:space="preserve"> low session attendance and</w:t>
      </w:r>
      <w:r w:rsidRPr="00EE63D8">
        <w:rPr>
          <w:bCs/>
        </w:rPr>
        <w:t xml:space="preserve"> challenges preparing appropriately for multiple s</w:t>
      </w:r>
      <w:r w:rsidR="009D1FBD">
        <w:rPr>
          <w:bCs/>
        </w:rPr>
        <w:t>ections running at varied paces</w:t>
      </w:r>
      <w:r w:rsidRPr="00EE63D8">
        <w:rPr>
          <w:bCs/>
        </w:rPr>
        <w:t xml:space="preserve">. </w:t>
      </w:r>
      <w:r w:rsidR="00C26937" w:rsidRPr="00EE63D8">
        <w:rPr>
          <w:bCs/>
        </w:rPr>
        <w:t>Lack of f</w:t>
      </w:r>
      <w:r w:rsidRPr="00EE63D8">
        <w:rPr>
          <w:bCs/>
        </w:rPr>
        <w:t>aculty</w:t>
      </w:r>
      <w:r w:rsidR="00C26937" w:rsidRPr="00EE63D8">
        <w:rPr>
          <w:bCs/>
        </w:rPr>
        <w:t xml:space="preserve"> engagement also posed challenges</w:t>
      </w:r>
      <w:r w:rsidR="00DB7295" w:rsidRPr="00EE63D8">
        <w:rPr>
          <w:bCs/>
        </w:rPr>
        <w:t>. To address these concerns, each PASS leader wa</w:t>
      </w:r>
      <w:r w:rsidRPr="00EE63D8">
        <w:rPr>
          <w:bCs/>
        </w:rPr>
        <w:t xml:space="preserve">s </w:t>
      </w:r>
      <w:r w:rsidR="00DB7295" w:rsidRPr="00EE63D8">
        <w:rPr>
          <w:bCs/>
        </w:rPr>
        <w:t>assigned to one section, attended class and communicated</w:t>
      </w:r>
      <w:r w:rsidRPr="00EE63D8">
        <w:rPr>
          <w:bCs/>
        </w:rPr>
        <w:t xml:space="preserve"> regularly with the faculty member</w:t>
      </w:r>
      <w:r w:rsidR="008324B6">
        <w:rPr>
          <w:bCs/>
        </w:rPr>
        <w:t xml:space="preserve"> during the S</w:t>
      </w:r>
      <w:r w:rsidR="00DB7295" w:rsidRPr="00EE63D8">
        <w:rPr>
          <w:bCs/>
        </w:rPr>
        <w:t>pring semester. W</w:t>
      </w:r>
      <w:r w:rsidRPr="00EE63D8">
        <w:rPr>
          <w:bCs/>
        </w:rPr>
        <w:t xml:space="preserve">eather </w:t>
      </w:r>
      <w:r w:rsidR="00DB7295" w:rsidRPr="00EE63D8">
        <w:rPr>
          <w:bCs/>
        </w:rPr>
        <w:t xml:space="preserve">cancellations impacted the number of PASS </w:t>
      </w:r>
      <w:r w:rsidR="008324B6">
        <w:rPr>
          <w:bCs/>
        </w:rPr>
        <w:t>sessions held in the S</w:t>
      </w:r>
      <w:r w:rsidRPr="00EE63D8">
        <w:rPr>
          <w:bCs/>
        </w:rPr>
        <w:t xml:space="preserve">pring </w:t>
      </w:r>
      <w:r w:rsidR="00DB7295" w:rsidRPr="00EE63D8">
        <w:rPr>
          <w:bCs/>
        </w:rPr>
        <w:t>semester, making</w:t>
      </w:r>
      <w:r w:rsidRPr="00EE63D8">
        <w:rPr>
          <w:bCs/>
        </w:rPr>
        <w:t xml:space="preserve"> atte</w:t>
      </w:r>
      <w:r w:rsidR="00DB7295" w:rsidRPr="00EE63D8">
        <w:rPr>
          <w:bCs/>
        </w:rPr>
        <w:t xml:space="preserve">ndance comparisons with fall </w:t>
      </w:r>
      <w:r w:rsidRPr="00EE63D8">
        <w:rPr>
          <w:bCs/>
        </w:rPr>
        <w:t>mis</w:t>
      </w:r>
      <w:r w:rsidR="009D1FBD">
        <w:rPr>
          <w:bCs/>
        </w:rPr>
        <w:t>leading. H</w:t>
      </w:r>
      <w:r w:rsidRPr="00EE63D8">
        <w:rPr>
          <w:bCs/>
        </w:rPr>
        <w:t>owever</w:t>
      </w:r>
      <w:r w:rsidR="009D1FBD">
        <w:rPr>
          <w:bCs/>
        </w:rPr>
        <w:t>,</w:t>
      </w:r>
      <w:r w:rsidRPr="00EE63D8">
        <w:rPr>
          <w:bCs/>
        </w:rPr>
        <w:t xml:space="preserve"> all other measures improved for students who utilized PASS</w:t>
      </w:r>
      <w:r w:rsidR="008324B6">
        <w:rPr>
          <w:bCs/>
        </w:rPr>
        <w:t xml:space="preserve"> in the S</w:t>
      </w:r>
      <w:r w:rsidR="00DB7295" w:rsidRPr="00EE63D8">
        <w:rPr>
          <w:bCs/>
        </w:rPr>
        <w:t>pring semester.  Going forward</w:t>
      </w:r>
      <w:r w:rsidR="00EE63D8" w:rsidRPr="00EE63D8">
        <w:rPr>
          <w:bCs/>
        </w:rPr>
        <w:t xml:space="preserve">, </w:t>
      </w:r>
      <w:r w:rsidR="00EE63D8" w:rsidRPr="00EE63D8">
        <w:t>pending con</w:t>
      </w:r>
      <w:r w:rsidR="00EE63D8">
        <w:t xml:space="preserve">tinued funding, </w:t>
      </w:r>
      <w:r w:rsidR="00EE63D8" w:rsidRPr="00EE63D8">
        <w:t xml:space="preserve">steps will be taken to increase faculty participation and student involvement in the program.  </w:t>
      </w:r>
      <w:r w:rsidR="00C26937" w:rsidRPr="00EE63D8">
        <w:t xml:space="preserve"> </w:t>
      </w:r>
    </w:p>
    <w:p w:rsidR="00B725F2" w:rsidRDefault="00B725F2" w:rsidP="00612B11">
      <w:pPr>
        <w:spacing w:before="100" w:beforeAutospacing="1" w:after="100" w:afterAutospacing="1" w:line="240" w:lineRule="auto"/>
        <w:contextualSpacing/>
      </w:pPr>
      <w:r w:rsidRPr="00B725F2">
        <w:rPr>
          <w:b/>
          <w:bCs/>
          <w:i/>
        </w:rPr>
        <w:t xml:space="preserve">Course final grades for students who attended PASS were better than the course average, and fewer PASS participants withdrew from the course. </w:t>
      </w:r>
      <w:r>
        <w:rPr>
          <w:b/>
          <w:bCs/>
          <w:i/>
        </w:rPr>
        <w:t>(See d</w:t>
      </w:r>
      <w:r w:rsidR="009D1FBD">
        <w:rPr>
          <w:b/>
          <w:bCs/>
          <w:i/>
        </w:rPr>
        <w:t>etailed assessment results that follow</w:t>
      </w:r>
      <w:r>
        <w:rPr>
          <w:b/>
          <w:bCs/>
          <w:i/>
        </w:rPr>
        <w:t>.)</w:t>
      </w:r>
    </w:p>
    <w:p w:rsidR="0083242A" w:rsidRDefault="0083242A" w:rsidP="00612B11">
      <w:pPr>
        <w:spacing w:before="100" w:beforeAutospacing="1" w:after="100" w:afterAutospacing="1" w:line="240" w:lineRule="auto"/>
        <w:contextualSpacing/>
      </w:pPr>
    </w:p>
    <w:p w:rsidR="0083242A" w:rsidRPr="0083242A" w:rsidRDefault="0083242A" w:rsidP="00612B11">
      <w:pPr>
        <w:spacing w:before="100" w:beforeAutospacing="1" w:after="100" w:afterAutospacing="1" w:line="240" w:lineRule="auto"/>
        <w:contextualSpacing/>
      </w:pPr>
      <w:r>
        <w:rPr>
          <w:noProof/>
        </w:rPr>
        <w:lastRenderedPageBreak/>
        <w:drawing>
          <wp:inline distT="0" distB="0" distL="0" distR="0" wp14:anchorId="060D83F2" wp14:editId="4F8B9415">
            <wp:extent cx="5918200" cy="2341880"/>
            <wp:effectExtent l="0" t="0" r="25400"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7B4D" w:rsidRDefault="0083242A" w:rsidP="00612B11">
      <w:pPr>
        <w:spacing w:before="100" w:beforeAutospacing="1" w:after="100" w:afterAutospacing="1" w:line="240" w:lineRule="auto"/>
        <w:contextualSpacing/>
        <w:rPr>
          <w:b/>
          <w:bCs/>
          <w:iCs/>
        </w:rPr>
      </w:pPr>
      <w:r>
        <w:rPr>
          <w:noProof/>
        </w:rPr>
        <w:drawing>
          <wp:inline distT="0" distB="0" distL="0" distR="0" wp14:anchorId="6F208FA8" wp14:editId="4F34160B">
            <wp:extent cx="5887720" cy="2910840"/>
            <wp:effectExtent l="0" t="0" r="17780" b="228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6D98" w:rsidRDefault="0083242A" w:rsidP="00612B11">
      <w:pPr>
        <w:spacing w:before="100" w:beforeAutospacing="1" w:after="100" w:afterAutospacing="1" w:line="240" w:lineRule="auto"/>
        <w:contextualSpacing/>
        <w:rPr>
          <w:b/>
          <w:bCs/>
          <w:iCs/>
        </w:rPr>
      </w:pPr>
      <w:r>
        <w:rPr>
          <w:noProof/>
        </w:rPr>
        <w:drawing>
          <wp:inline distT="0" distB="0" distL="0" distR="0" wp14:anchorId="7D53361C" wp14:editId="7C4FD431">
            <wp:extent cx="5905500" cy="2857500"/>
            <wp:effectExtent l="0" t="0" r="19050" b="19050"/>
            <wp:docPr id="10" name="Chart 10" title="PASS CHEM161 2014-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6D98" w:rsidRDefault="00DC6D98" w:rsidP="00612B11">
      <w:pPr>
        <w:spacing w:before="100" w:beforeAutospacing="1" w:after="100" w:afterAutospacing="1" w:line="240" w:lineRule="auto"/>
        <w:contextualSpacing/>
        <w:rPr>
          <w:b/>
          <w:bCs/>
          <w:iCs/>
        </w:rPr>
      </w:pPr>
    </w:p>
    <w:p w:rsidR="001D126A" w:rsidRPr="00DC6D98" w:rsidRDefault="001D126A" w:rsidP="00DC6D98"/>
    <w:p w:rsidR="00C4378C" w:rsidRDefault="00C4378C" w:rsidP="00612B11">
      <w:pPr>
        <w:spacing w:before="100" w:beforeAutospacing="1" w:after="100" w:afterAutospacing="1" w:line="240" w:lineRule="auto"/>
        <w:contextualSpacing/>
        <w:rPr>
          <w:b/>
          <w:bCs/>
          <w:iCs/>
        </w:rPr>
      </w:pPr>
    </w:p>
    <w:p w:rsidR="00C4378C" w:rsidRDefault="00C4378C" w:rsidP="00612B11">
      <w:pPr>
        <w:spacing w:before="100" w:beforeAutospacing="1" w:after="100" w:afterAutospacing="1" w:line="240" w:lineRule="auto"/>
        <w:contextualSpacing/>
        <w:rPr>
          <w:b/>
          <w:bCs/>
          <w:iCs/>
        </w:rPr>
      </w:pPr>
    </w:p>
    <w:p w:rsidR="00B87B4D" w:rsidRDefault="00EE63D8" w:rsidP="00612B11">
      <w:pPr>
        <w:spacing w:before="100" w:beforeAutospacing="1" w:after="100" w:afterAutospacing="1" w:line="240" w:lineRule="auto"/>
        <w:contextualSpacing/>
        <w:rPr>
          <w:rFonts w:cs="Calibri"/>
          <w:sz w:val="20"/>
          <w:szCs w:val="20"/>
        </w:rPr>
      </w:pPr>
      <w:r>
        <w:rPr>
          <w:b/>
          <w:bCs/>
          <w:iCs/>
        </w:rPr>
        <w:lastRenderedPageBreak/>
        <w:t xml:space="preserve">Goal: </w:t>
      </w:r>
      <w:r w:rsidRPr="007C05DF">
        <w:rPr>
          <w:rFonts w:cs="Calibri"/>
          <w:sz w:val="20"/>
          <w:szCs w:val="20"/>
        </w:rPr>
        <w:t xml:space="preserve">Increase use of Academic Success Coaching by 5% during the AY 2014-2015  </w:t>
      </w:r>
    </w:p>
    <w:p w:rsidR="00EE63D8" w:rsidRPr="007C05DF" w:rsidRDefault="00EE63D8" w:rsidP="00612B11">
      <w:pPr>
        <w:spacing w:before="100" w:beforeAutospacing="1" w:after="100" w:afterAutospacing="1" w:line="240" w:lineRule="auto"/>
        <w:ind w:left="-14"/>
        <w:contextualSpacing/>
        <w:rPr>
          <w:sz w:val="20"/>
        </w:rPr>
      </w:pPr>
      <w:r w:rsidRPr="007C05DF">
        <w:rPr>
          <w:b/>
          <w:sz w:val="20"/>
        </w:rPr>
        <w:t>Exceeded</w:t>
      </w:r>
      <w:r w:rsidRPr="007C05DF">
        <w:rPr>
          <w:sz w:val="20"/>
        </w:rPr>
        <w:t xml:space="preserve"> The rate of change for Academic Coaching, including the intervention, walk-in appointments, and online facilitation, continues to steadily increase year-over-year.</w:t>
      </w:r>
      <w:r w:rsidRPr="007C05DF">
        <w:rPr>
          <w:rFonts w:eastAsiaTheme="minorEastAsia" w:hAnsi="Calibri"/>
          <w:color w:val="000000"/>
          <w:sz w:val="18"/>
          <w:szCs w:val="18"/>
        </w:rPr>
        <w:t xml:space="preserve"> </w:t>
      </w:r>
      <w:r w:rsidRPr="007C05DF">
        <w:rPr>
          <w:sz w:val="20"/>
        </w:rPr>
        <w:t>Use of Academic Coaching, in total, has increased by 22% compared to the previous academic year, 17% above the goal.  In-person academic coaching increased 9% for the same time period.  For the 2014-2015 Academic Year, 681 students were engaged in academic coaching (28% walk in), an increase of 90 students compared to the year prior. Usage rates of Academic Success Coaching quadrupled compared to the goal set forth.  Consistent with past practices, all academic coaches maintained continuous contact with students assigned to their caseloads, in addition to ongoing outreach efforts during the course of the semester by the Lead Academic Coach to encourage participation.</w:t>
      </w:r>
      <w:r w:rsidRPr="007C05DF">
        <w:rPr>
          <w:b/>
        </w:rPr>
        <w:t xml:space="preserve"> </w:t>
      </w:r>
      <w:r w:rsidRPr="007C05DF">
        <w:rPr>
          <w:sz w:val="20"/>
        </w:rPr>
        <w:t>Facilitation of classroom presentations also offered opportunities to represent and inform about TLC services.</w:t>
      </w:r>
      <w:r w:rsidRPr="007C05DF">
        <w:rPr>
          <w:b/>
          <w:sz w:val="20"/>
        </w:rPr>
        <w:t xml:space="preserve"> </w:t>
      </w:r>
      <w:r w:rsidRPr="007C05DF">
        <w:rPr>
          <w:sz w:val="20"/>
        </w:rPr>
        <w:t xml:space="preserve">In the Spring 2015 semester, </w:t>
      </w:r>
      <w:r w:rsidR="009D1FBD">
        <w:rPr>
          <w:sz w:val="20"/>
        </w:rPr>
        <w:t xml:space="preserve">students were </w:t>
      </w:r>
      <w:r w:rsidRPr="007C05DF">
        <w:rPr>
          <w:sz w:val="20"/>
        </w:rPr>
        <w:t xml:space="preserve">required </w:t>
      </w:r>
      <w:r w:rsidR="009D1FBD">
        <w:rPr>
          <w:sz w:val="20"/>
        </w:rPr>
        <w:t xml:space="preserve">to attend 6 </w:t>
      </w:r>
      <w:r w:rsidRPr="007C05DF">
        <w:rPr>
          <w:sz w:val="20"/>
        </w:rPr>
        <w:t>appointments for TLC 001</w:t>
      </w:r>
      <w:r w:rsidR="009D1FBD">
        <w:rPr>
          <w:sz w:val="20"/>
        </w:rPr>
        <w:t xml:space="preserve">. Prior semesters, the requirement was 5.  </w:t>
      </w:r>
      <w:r w:rsidRPr="009D1FBD">
        <w:rPr>
          <w:rFonts w:cs="Calibri"/>
          <w:sz w:val="20"/>
          <w:szCs w:val="20"/>
        </w:rPr>
        <w:t>Future Action</w:t>
      </w:r>
      <w:r w:rsidRPr="007C05DF">
        <w:rPr>
          <w:rFonts w:cs="Calibri"/>
        </w:rPr>
        <w:t>:</w:t>
      </w:r>
      <w:r w:rsidRPr="007C05DF">
        <w:rPr>
          <w:sz w:val="20"/>
        </w:rPr>
        <w:t xml:space="preserve"> Continue current outreach practices and generate new, creative outreach strategies, including social med</w:t>
      </w:r>
      <w:r w:rsidR="009D1FBD">
        <w:rPr>
          <w:sz w:val="20"/>
        </w:rPr>
        <w:t>ia outlets, to encourage</w:t>
      </w:r>
      <w:r w:rsidRPr="007C05DF">
        <w:rPr>
          <w:sz w:val="20"/>
        </w:rPr>
        <w:t xml:space="preserve"> participation.</w:t>
      </w:r>
    </w:p>
    <w:p w:rsidR="00EE63D8" w:rsidRDefault="00EE63D8" w:rsidP="009D1FBD">
      <w:pPr>
        <w:spacing w:before="100" w:beforeAutospacing="1" w:after="100" w:afterAutospacing="1" w:line="240" w:lineRule="auto"/>
        <w:contextualSpacing/>
        <w:jc w:val="center"/>
        <w:rPr>
          <w:b/>
          <w:bCs/>
          <w:iCs/>
        </w:rPr>
      </w:pPr>
      <w:r w:rsidRPr="007C05DF">
        <w:rPr>
          <w:noProof/>
        </w:rPr>
        <w:drawing>
          <wp:inline distT="0" distB="0" distL="0" distR="0" wp14:anchorId="66F807EB" wp14:editId="5454A640">
            <wp:extent cx="4734560" cy="2626360"/>
            <wp:effectExtent l="0" t="0" r="27940" b="215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7B4D" w:rsidRDefault="00B87B4D" w:rsidP="00612B11">
      <w:pPr>
        <w:spacing w:before="100" w:beforeAutospacing="1" w:after="100" w:afterAutospacing="1" w:line="240" w:lineRule="auto"/>
        <w:contextualSpacing/>
        <w:rPr>
          <w:b/>
          <w:bCs/>
          <w:iCs/>
        </w:rPr>
      </w:pPr>
    </w:p>
    <w:p w:rsidR="00B87B4D" w:rsidRDefault="00EE63D8" w:rsidP="00612B11">
      <w:pPr>
        <w:spacing w:before="100" w:beforeAutospacing="1" w:after="100" w:afterAutospacing="1" w:line="240" w:lineRule="auto"/>
        <w:contextualSpacing/>
      </w:pPr>
      <w:r>
        <w:rPr>
          <w:b/>
          <w:bCs/>
          <w:iCs/>
        </w:rPr>
        <w:t xml:space="preserve">Goal: </w:t>
      </w:r>
      <w:r w:rsidRPr="00EE63D8">
        <w:t>Compile and submit materials for 5 year reaccreditation to CRLA for Level I and II peer tutor training program and submit Level III program for initial 1 year accreditation.</w:t>
      </w:r>
    </w:p>
    <w:p w:rsidR="00EE63D8" w:rsidRDefault="00EE63D8" w:rsidP="00612B11">
      <w:pPr>
        <w:spacing w:before="100" w:beforeAutospacing="1" w:after="100" w:afterAutospacing="1" w:line="240" w:lineRule="auto"/>
        <w:contextualSpacing/>
        <w:rPr>
          <w:sz w:val="20"/>
          <w:szCs w:val="20"/>
        </w:rPr>
      </w:pPr>
      <w:r>
        <w:rPr>
          <w:b/>
          <w:sz w:val="20"/>
          <w:szCs w:val="20"/>
        </w:rPr>
        <w:t>Submission Pending, not complete</w:t>
      </w:r>
      <w:r w:rsidRPr="008A4452">
        <w:rPr>
          <w:b/>
          <w:sz w:val="20"/>
          <w:szCs w:val="20"/>
        </w:rPr>
        <w:t>:</w:t>
      </w:r>
      <w:r>
        <w:rPr>
          <w:sz w:val="20"/>
          <w:szCs w:val="20"/>
        </w:rPr>
        <w:t xml:space="preserve"> International CRLA Certification organizational leadership changed suddenly. Submission of applications was closed until the new leadership completed review of all pending applications.  Our accreditation was extended for 1 year until October 2015. Our application for 5 year renewal of Level 1 &amp; 2, and new accreditation of Level 3, is complete and will be submitted as soon as CRLA reopens for submissions.</w:t>
      </w:r>
    </w:p>
    <w:p w:rsidR="002620DD" w:rsidRPr="00EE63D8" w:rsidRDefault="002620DD" w:rsidP="00612B11">
      <w:pPr>
        <w:spacing w:before="100" w:beforeAutospacing="1" w:after="100" w:afterAutospacing="1" w:line="240" w:lineRule="auto"/>
        <w:contextualSpacing/>
        <w:rPr>
          <w:b/>
          <w:bCs/>
          <w:iCs/>
        </w:rPr>
      </w:pPr>
    </w:p>
    <w:p w:rsidR="00612B11" w:rsidRPr="002620DD" w:rsidRDefault="00382EB7" w:rsidP="002620DD">
      <w:pPr>
        <w:spacing w:before="100" w:beforeAutospacing="1" w:after="100" w:afterAutospacing="1" w:line="240" w:lineRule="auto"/>
        <w:contextualSpacing/>
        <w:jc w:val="center"/>
        <w:rPr>
          <w:b/>
          <w:bCs/>
          <w:iCs/>
        </w:rPr>
      </w:pPr>
      <w:r>
        <w:rPr>
          <w:b/>
          <w:bCs/>
          <w:iCs/>
        </w:rPr>
        <w:t>B. Progress with Strategic Planning- Not applicable</w:t>
      </w:r>
    </w:p>
    <w:p w:rsidR="002620DD" w:rsidRPr="002620DD" w:rsidRDefault="007322B2" w:rsidP="002620DD">
      <w:pPr>
        <w:pStyle w:val="ListParagraph"/>
        <w:numPr>
          <w:ilvl w:val="0"/>
          <w:numId w:val="28"/>
        </w:numPr>
        <w:spacing w:before="100" w:beforeAutospacing="1" w:after="100" w:afterAutospacing="1" w:line="240" w:lineRule="auto"/>
        <w:jc w:val="center"/>
        <w:rPr>
          <w:b/>
          <w:bCs/>
          <w:iCs/>
        </w:rPr>
      </w:pPr>
      <w:r w:rsidRPr="002620DD">
        <w:rPr>
          <w:b/>
          <w:bCs/>
          <w:iCs/>
        </w:rPr>
        <w:t>Administrative changes</w:t>
      </w:r>
    </w:p>
    <w:p w:rsidR="007322B2" w:rsidRPr="00870F34" w:rsidRDefault="00870F34" w:rsidP="00612B11">
      <w:pPr>
        <w:spacing w:before="100" w:beforeAutospacing="1" w:after="100" w:afterAutospacing="1" w:line="240" w:lineRule="auto"/>
        <w:contextualSpacing/>
        <w:rPr>
          <w:b/>
          <w:bCs/>
          <w:iCs/>
        </w:rPr>
      </w:pPr>
      <w:r>
        <w:rPr>
          <w:bCs/>
          <w:iCs/>
        </w:rPr>
        <w:t xml:space="preserve">No two years are the same in The Learning Center.  With the exception of the Early Academic Alert program, all service delivery is provided by students, both graduate and undergraduate.  </w:t>
      </w:r>
      <w:r w:rsidR="007322B2" w:rsidRPr="00F44357">
        <w:rPr>
          <w:bCs/>
          <w:iCs/>
        </w:rPr>
        <w:t xml:space="preserve"> </w:t>
      </w:r>
      <w:r w:rsidR="00382EB7">
        <w:rPr>
          <w:bCs/>
          <w:iCs/>
        </w:rPr>
        <w:t xml:space="preserve">We hire and train new staff every year.  The budget is always a challenge.  Our base budget covers only 62% of the cost of service delivery.  Supplemental funding is always needed to address the increase to student work wages and reductions in work study received by our student staff.  Student work wages make up 99% of our budget, with the remaining 1% used to purchase the eTutor subscription, placement tests, and office supplies.  </w:t>
      </w:r>
    </w:p>
    <w:p w:rsidR="00612B11" w:rsidRPr="00612B11" w:rsidRDefault="00612B11" w:rsidP="00612B11">
      <w:pPr>
        <w:spacing w:before="100" w:beforeAutospacing="1" w:after="100" w:afterAutospacing="1" w:line="240" w:lineRule="auto"/>
        <w:contextualSpacing/>
        <w:rPr>
          <w:b/>
          <w:bCs/>
          <w:iCs/>
          <w:sz w:val="16"/>
          <w:szCs w:val="16"/>
        </w:rPr>
      </w:pPr>
    </w:p>
    <w:p w:rsidR="00382EB7" w:rsidRDefault="0016549A" w:rsidP="002620DD">
      <w:pPr>
        <w:spacing w:before="100" w:beforeAutospacing="1" w:after="100" w:afterAutospacing="1" w:line="240" w:lineRule="auto"/>
        <w:contextualSpacing/>
        <w:jc w:val="center"/>
        <w:rPr>
          <w:b/>
          <w:bCs/>
          <w:iCs/>
        </w:rPr>
      </w:pPr>
      <w:r>
        <w:rPr>
          <w:b/>
          <w:bCs/>
          <w:iCs/>
        </w:rPr>
        <w:t>D</w:t>
      </w:r>
      <w:r w:rsidR="00382EB7">
        <w:rPr>
          <w:b/>
          <w:bCs/>
          <w:iCs/>
        </w:rPr>
        <w:t xml:space="preserve">. </w:t>
      </w:r>
      <w:r w:rsidR="00612B11">
        <w:rPr>
          <w:b/>
          <w:bCs/>
          <w:iCs/>
        </w:rPr>
        <w:t>Special initiatives</w:t>
      </w:r>
    </w:p>
    <w:p w:rsidR="00A46A9E" w:rsidRDefault="00A46A9E" w:rsidP="00612B11">
      <w:pPr>
        <w:spacing w:before="100" w:beforeAutospacing="1" w:after="100" w:afterAutospacing="1" w:line="240" w:lineRule="auto"/>
        <w:contextualSpacing/>
        <w:rPr>
          <w:b/>
          <w:bCs/>
          <w:iCs/>
        </w:rPr>
      </w:pPr>
    </w:p>
    <w:p w:rsidR="007824CE" w:rsidRPr="00842A29" w:rsidRDefault="00A46A9E" w:rsidP="00612B11">
      <w:pPr>
        <w:spacing w:before="100" w:beforeAutospacing="1" w:after="100" w:afterAutospacing="1" w:line="240" w:lineRule="auto"/>
        <w:contextualSpacing/>
        <w:rPr>
          <w:b/>
          <w:color w:val="000000" w:themeColor="text1"/>
          <w:u w:val="single"/>
        </w:rPr>
      </w:pPr>
      <w:r>
        <w:rPr>
          <w:b/>
          <w:color w:val="000000" w:themeColor="text1"/>
        </w:rPr>
        <w:t>1</w:t>
      </w:r>
      <w:r w:rsidRPr="002620DD">
        <w:rPr>
          <w:b/>
          <w:i/>
          <w:color w:val="000000" w:themeColor="text1"/>
        </w:rPr>
        <w:t xml:space="preserve">.  </w:t>
      </w:r>
      <w:r w:rsidRPr="002620DD">
        <w:rPr>
          <w:b/>
          <w:i/>
          <w:color w:val="000000" w:themeColor="text1"/>
          <w:u w:val="single"/>
        </w:rPr>
        <w:t>STRUCTURED LEARNING AS</w:t>
      </w:r>
      <w:r w:rsidR="00842A29">
        <w:rPr>
          <w:b/>
          <w:i/>
          <w:color w:val="000000" w:themeColor="text1"/>
          <w:u w:val="single"/>
        </w:rPr>
        <w:t>SISTANCE MEETINGS (SLAMs) PILOT:</w:t>
      </w:r>
      <w:r w:rsidR="00842A29">
        <w:rPr>
          <w:b/>
          <w:i/>
          <w:color w:val="000000" w:themeColor="text1"/>
        </w:rPr>
        <w:t xml:space="preserve">  </w:t>
      </w:r>
      <w:r w:rsidR="007824CE" w:rsidRPr="00612B11">
        <w:rPr>
          <w:color w:val="000000" w:themeColor="text1"/>
        </w:rPr>
        <w:t>Structured Learning Assistance was pioneered at Ferris State University for supporting high DFW courses, and it has been adopted at a number of schools in various forms to support academic success.</w:t>
      </w:r>
      <w:r w:rsidR="00842A29">
        <w:rPr>
          <w:color w:val="000000" w:themeColor="text1"/>
        </w:rPr>
        <w:t xml:space="preserve"> </w:t>
      </w:r>
      <w:r w:rsidR="007824CE" w:rsidRPr="00E760F7">
        <w:rPr>
          <w:color w:val="000000" w:themeColor="text1"/>
        </w:rPr>
        <w:t>Students from two sections</w:t>
      </w:r>
      <w:r w:rsidR="007824CE">
        <w:rPr>
          <w:color w:val="000000" w:themeColor="text1"/>
        </w:rPr>
        <w:t xml:space="preserve"> of MATH 101,</w:t>
      </w:r>
      <w:r w:rsidR="007824CE" w:rsidRPr="00E760F7">
        <w:rPr>
          <w:color w:val="000000" w:themeColor="text1"/>
        </w:rPr>
        <w:t xml:space="preserve"> taught by the same instructor</w:t>
      </w:r>
      <w:r w:rsidR="007824CE">
        <w:rPr>
          <w:color w:val="000000" w:themeColor="text1"/>
        </w:rPr>
        <w:t>,</w:t>
      </w:r>
      <w:r w:rsidR="007824CE" w:rsidRPr="00E760F7">
        <w:rPr>
          <w:color w:val="000000" w:themeColor="text1"/>
        </w:rPr>
        <w:t xml:space="preserve"> were invited to</w:t>
      </w:r>
      <w:r w:rsidR="007824CE">
        <w:rPr>
          <w:color w:val="000000" w:themeColor="text1"/>
        </w:rPr>
        <w:t xml:space="preserve"> attend the pilot sessions.</w:t>
      </w:r>
      <w:r w:rsidR="007824CE" w:rsidRPr="00E760F7">
        <w:rPr>
          <w:color w:val="000000" w:themeColor="text1"/>
        </w:rPr>
        <w:t xml:space="preserve"> SLAMs involve organized, structured group activities which are</w:t>
      </w:r>
      <w:r w:rsidR="007824CE">
        <w:rPr>
          <w:color w:val="000000" w:themeColor="text1"/>
        </w:rPr>
        <w:t xml:space="preserve"> aligned with the content </w:t>
      </w:r>
      <w:r w:rsidR="007824CE" w:rsidRPr="00E760F7">
        <w:rPr>
          <w:color w:val="000000" w:themeColor="text1"/>
        </w:rPr>
        <w:t>covered at that point in the course.</w:t>
      </w:r>
      <w:r w:rsidR="007824CE">
        <w:rPr>
          <w:color w:val="000000" w:themeColor="text1"/>
        </w:rPr>
        <w:t xml:space="preserve"> </w:t>
      </w:r>
      <w:r w:rsidR="007824CE" w:rsidRPr="00E760F7">
        <w:rPr>
          <w:color w:val="000000" w:themeColor="text1"/>
        </w:rPr>
        <w:t>CRLA cer</w:t>
      </w:r>
      <w:r w:rsidR="007824CE">
        <w:rPr>
          <w:color w:val="000000" w:themeColor="text1"/>
        </w:rPr>
        <w:t>tified tutors facilitate the</w:t>
      </w:r>
      <w:r w:rsidR="00842A29">
        <w:rPr>
          <w:color w:val="000000" w:themeColor="text1"/>
        </w:rPr>
        <w:t xml:space="preserve"> group activities</w:t>
      </w:r>
      <w:r w:rsidR="007824CE">
        <w:rPr>
          <w:color w:val="000000" w:themeColor="text1"/>
        </w:rPr>
        <w:t xml:space="preserve">. </w:t>
      </w:r>
      <w:r w:rsidR="007824CE" w:rsidRPr="00E760F7">
        <w:rPr>
          <w:color w:val="000000" w:themeColor="text1"/>
        </w:rPr>
        <w:t>Students are expected to arrive on time and attend the entire meeting. </w:t>
      </w:r>
      <w:r w:rsidR="007824CE">
        <w:rPr>
          <w:color w:val="000000" w:themeColor="text1"/>
        </w:rPr>
        <w:t xml:space="preserve">Attendance </w:t>
      </w:r>
      <w:r w:rsidR="00842A29">
        <w:rPr>
          <w:color w:val="000000" w:themeColor="text1"/>
        </w:rPr>
        <w:t>is</w:t>
      </w:r>
      <w:r w:rsidR="007824CE">
        <w:rPr>
          <w:color w:val="000000" w:themeColor="text1"/>
        </w:rPr>
        <w:t xml:space="preserve"> not required. A</w:t>
      </w:r>
      <w:r w:rsidR="007824CE" w:rsidRPr="00452B3C">
        <w:rPr>
          <w:color w:val="000000" w:themeColor="text1"/>
        </w:rPr>
        <w:t>n average participation</w:t>
      </w:r>
      <w:r w:rsidR="007824CE">
        <w:rPr>
          <w:color w:val="000000" w:themeColor="text1"/>
        </w:rPr>
        <w:t xml:space="preserve"> rate of</w:t>
      </w:r>
      <w:r w:rsidR="007824CE">
        <w:rPr>
          <w:b/>
          <w:i/>
          <w:color w:val="000000" w:themeColor="text1"/>
        </w:rPr>
        <w:t xml:space="preserve"> 14 of the </w:t>
      </w:r>
      <w:r w:rsidR="007824CE" w:rsidRPr="00452B3C">
        <w:rPr>
          <w:b/>
          <w:i/>
          <w:color w:val="000000" w:themeColor="text1"/>
        </w:rPr>
        <w:t>47</w:t>
      </w:r>
      <w:r w:rsidR="007824CE">
        <w:rPr>
          <w:b/>
          <w:i/>
          <w:color w:val="000000" w:themeColor="text1"/>
        </w:rPr>
        <w:t xml:space="preserve"> enrolled students</w:t>
      </w:r>
      <w:r w:rsidR="007824CE" w:rsidRPr="00452B3C">
        <w:rPr>
          <w:b/>
          <w:i/>
          <w:color w:val="000000" w:themeColor="text1"/>
        </w:rPr>
        <w:t xml:space="preserve"> ≈ 30%</w:t>
      </w:r>
      <w:r w:rsidR="007824CE" w:rsidRPr="00E760F7">
        <w:rPr>
          <w:b/>
          <w:color w:val="000000" w:themeColor="text1"/>
        </w:rPr>
        <w:t xml:space="preserve">.  </w:t>
      </w:r>
      <w:r w:rsidR="007824CE" w:rsidRPr="00E760F7">
        <w:rPr>
          <w:color w:val="000000" w:themeColor="text1"/>
        </w:rPr>
        <w:t xml:space="preserve">13 students attended at least two or more of the SLAMs.  </w:t>
      </w:r>
      <w:r w:rsidR="00421812">
        <w:rPr>
          <w:color w:val="000000" w:themeColor="text1"/>
        </w:rPr>
        <w:t>The average of participants’</w:t>
      </w:r>
      <w:r w:rsidR="007824CE" w:rsidRPr="00E760F7">
        <w:rPr>
          <w:color w:val="000000" w:themeColor="text1"/>
        </w:rPr>
        <w:t xml:space="preserve"> first two </w:t>
      </w:r>
      <w:r w:rsidR="007824CE" w:rsidRPr="00E760F7">
        <w:rPr>
          <w:color w:val="000000" w:themeColor="text1"/>
        </w:rPr>
        <w:lastRenderedPageBreak/>
        <w:t xml:space="preserve">tests (before the SLAM program began) </w:t>
      </w:r>
      <w:r w:rsidR="00421812">
        <w:rPr>
          <w:color w:val="000000" w:themeColor="text1"/>
        </w:rPr>
        <w:t>was compared to</w:t>
      </w:r>
      <w:r w:rsidR="007824CE" w:rsidRPr="00E760F7">
        <w:rPr>
          <w:color w:val="000000" w:themeColor="text1"/>
        </w:rPr>
        <w:t xml:space="preserve"> the average of their last test and final exam (administered during the SLAM program</w:t>
      </w:r>
      <w:r w:rsidR="00842A29">
        <w:rPr>
          <w:color w:val="000000" w:themeColor="text1"/>
        </w:rPr>
        <w:t>)</w:t>
      </w:r>
      <w:r w:rsidR="007824CE" w:rsidRPr="00452B3C">
        <w:rPr>
          <w:i/>
          <w:color w:val="000000" w:themeColor="text1"/>
        </w:rPr>
        <w:t xml:space="preserve">.  </w:t>
      </w:r>
      <w:r w:rsidR="007824CE" w:rsidRPr="00452B3C">
        <w:rPr>
          <w:b/>
          <w:i/>
          <w:color w:val="000000" w:themeColor="text1"/>
        </w:rPr>
        <w:t>The mean increase in score was 11 points, and 6 students had increases of more than 17 points.</w:t>
      </w:r>
      <w:r w:rsidR="007824CE" w:rsidRPr="00E760F7">
        <w:rPr>
          <w:color w:val="000000" w:themeColor="text1"/>
        </w:rPr>
        <w:t xml:space="preserve">  These results are particularly significant because grades on the cumulative final exam in MATH 101 are </w:t>
      </w:r>
      <w:r w:rsidR="007824CE">
        <w:rPr>
          <w:color w:val="000000" w:themeColor="text1"/>
        </w:rPr>
        <w:t>commonly</w:t>
      </w:r>
      <w:r w:rsidR="007824CE" w:rsidRPr="00E760F7">
        <w:rPr>
          <w:color w:val="000000" w:themeColor="text1"/>
        </w:rPr>
        <w:t xml:space="preserve"> lower than in-class test grades.  </w:t>
      </w:r>
      <w:r w:rsidR="007824CE" w:rsidRPr="00F5376D">
        <w:t>As a result of the succ</w:t>
      </w:r>
      <w:r w:rsidR="00842A29">
        <w:t>ess of the F</w:t>
      </w:r>
      <w:r w:rsidR="007824CE" w:rsidRPr="00F5376D">
        <w:t>all pilot, funding was secured to continue SLAMs through</w:t>
      </w:r>
      <w:r w:rsidR="00842A29">
        <w:t>out the entire S</w:t>
      </w:r>
      <w:r w:rsidR="007824CE" w:rsidRPr="00F5376D">
        <w:t>pring 2015 semester. SLAMs were plann</w:t>
      </w:r>
      <w:r w:rsidR="00842A29">
        <w:t>ed for most Fridays. Eleven,</w:t>
      </w:r>
      <w:r w:rsidR="007824CE" w:rsidRPr="00F5376D">
        <w:t xml:space="preserve"> two hour</w:t>
      </w:r>
      <w:r w:rsidR="00842A29">
        <w:t>,</w:t>
      </w:r>
      <w:r w:rsidR="007824CE" w:rsidRPr="00F5376D">
        <w:t xml:space="preserve"> meetings were held.</w:t>
      </w:r>
      <w:r w:rsidR="00421812">
        <w:rPr>
          <w:b/>
        </w:rPr>
        <w:t xml:space="preserve"> </w:t>
      </w:r>
      <w:r w:rsidR="007824CE" w:rsidRPr="00F5376D">
        <w:t>Attendance was open to all sections of Math 101</w:t>
      </w:r>
      <w:r w:rsidR="00421812">
        <w:rPr>
          <w:b/>
        </w:rPr>
        <w:t xml:space="preserve">. </w:t>
      </w:r>
      <w:r w:rsidR="007824CE" w:rsidRPr="00F5376D">
        <w:t>30 Individual students attended/88 visits</w:t>
      </w:r>
      <w:r w:rsidR="00421812">
        <w:rPr>
          <w:b/>
        </w:rPr>
        <w:t xml:space="preserve">. </w:t>
      </w:r>
      <w:r w:rsidR="007824CE">
        <w:t xml:space="preserve"> Results indicate reduced DFW rates for students who attended SLAM</w:t>
      </w:r>
      <w:r w:rsidR="00421812">
        <w:t>s.</w:t>
      </w:r>
      <w:r w:rsidR="00421812">
        <w:rPr>
          <w:b/>
        </w:rPr>
        <w:t xml:space="preserve"> </w:t>
      </w:r>
      <w:r w:rsidR="00421812" w:rsidRPr="00842A29">
        <w:rPr>
          <w:sz w:val="18"/>
          <w:szCs w:val="18"/>
        </w:rPr>
        <w:t>(</w:t>
      </w:r>
      <w:r w:rsidR="007824CE" w:rsidRPr="00421812">
        <w:rPr>
          <w:b/>
          <w:sz w:val="18"/>
          <w:szCs w:val="18"/>
        </w:rPr>
        <w:t xml:space="preserve">Of note: </w:t>
      </w:r>
      <w:r w:rsidR="007824CE" w:rsidRPr="00421812">
        <w:rPr>
          <w:sz w:val="18"/>
          <w:szCs w:val="18"/>
        </w:rPr>
        <w:t>One SLAM participant, who was repeating MATH101 and attended multiple SLAM sessions, received an A- in his MATH101 course. As an attribution</w:t>
      </w:r>
      <w:r w:rsidR="00421812" w:rsidRPr="00421812">
        <w:rPr>
          <w:sz w:val="18"/>
          <w:szCs w:val="18"/>
        </w:rPr>
        <w:t xml:space="preserve"> to</w:t>
      </w:r>
      <w:r w:rsidR="007824CE" w:rsidRPr="00421812">
        <w:rPr>
          <w:sz w:val="18"/>
          <w:szCs w:val="18"/>
        </w:rPr>
        <w:t xml:space="preserve"> the support he received</w:t>
      </w:r>
      <w:r w:rsidR="00421812" w:rsidRPr="00421812">
        <w:rPr>
          <w:sz w:val="18"/>
          <w:szCs w:val="18"/>
        </w:rPr>
        <w:t xml:space="preserve">, he </w:t>
      </w:r>
      <w:r w:rsidR="007824CE" w:rsidRPr="00421812">
        <w:rPr>
          <w:sz w:val="18"/>
          <w:szCs w:val="18"/>
        </w:rPr>
        <w:t>gave a speech in his</w:t>
      </w:r>
      <w:r w:rsidR="00421812" w:rsidRPr="00421812">
        <w:rPr>
          <w:sz w:val="18"/>
          <w:szCs w:val="18"/>
        </w:rPr>
        <w:t xml:space="preserve"> public speaking </w:t>
      </w:r>
      <w:r w:rsidR="007824CE" w:rsidRPr="00421812">
        <w:rPr>
          <w:sz w:val="18"/>
          <w:szCs w:val="18"/>
        </w:rPr>
        <w:t>course describing SLAM and other TLC services as one of CCSU’s hidden resources.</w:t>
      </w:r>
      <w:r w:rsidR="00421812">
        <w:rPr>
          <w:sz w:val="18"/>
          <w:szCs w:val="18"/>
        </w:rPr>
        <w:t>)</w:t>
      </w:r>
      <w:r w:rsidR="007824CE" w:rsidRPr="00421812">
        <w:rPr>
          <w:sz w:val="18"/>
          <w:szCs w:val="18"/>
        </w:rPr>
        <w:t xml:space="preserve"> </w:t>
      </w:r>
    </w:p>
    <w:p w:rsidR="007824CE" w:rsidRPr="00421812" w:rsidRDefault="00421812" w:rsidP="00612B11">
      <w:pPr>
        <w:spacing w:before="100" w:beforeAutospacing="1" w:after="100" w:afterAutospacing="1" w:line="240" w:lineRule="auto"/>
        <w:contextualSpacing/>
        <w:rPr>
          <w:b/>
          <w:u w:val="single"/>
        </w:rPr>
      </w:pPr>
      <w:r>
        <w:t>I</w:t>
      </w:r>
      <w:r w:rsidR="007824CE" w:rsidRPr="00F5376D">
        <w:t xml:space="preserve">n order to introduce the SLAM program to faculty, the tutor lab coordinator attended the pre-semester 099/101 faculty meeting held by the developmental math coordinator, Karen Santoro. The faculty members were given a copy of the SLAM schedule for the semester, an explanation of the support program, and a synopsis of the fall semester’s pilot results. The response by faculty was enthusiastic. Faculty engaged in the promotion by welcoming the tutor lab coordinator into their classrooms in order to introduce the students to the SLAM program, distribute a schedule of planned meetings, and encourage attendance. </w:t>
      </w:r>
    </w:p>
    <w:p w:rsidR="007824CE" w:rsidRDefault="007824CE" w:rsidP="00612B11">
      <w:pPr>
        <w:spacing w:before="100" w:beforeAutospacing="1" w:after="100" w:afterAutospacing="1" w:line="240" w:lineRule="auto"/>
        <w:contextualSpacing/>
      </w:pPr>
      <w:r w:rsidRPr="00F5376D">
        <w:t>Because of inclement weather early in the semester, scattering the timelines of content delivery among course sections, the tutor lab coordinator regularly kept in touch with faculty via email to monitor and adjust the planning of</w:t>
      </w:r>
      <w:r w:rsidR="009B2155">
        <w:t xml:space="preserve"> content support at the SLAMs. </w:t>
      </w:r>
      <w:r w:rsidRPr="00D47ABE">
        <w:t>Recommendations</w:t>
      </w:r>
      <w:r w:rsidR="00421812" w:rsidRPr="00D47ABE">
        <w:t xml:space="preserve"> for future (pending funding):</w:t>
      </w:r>
      <w:r w:rsidR="003B376A">
        <w:t xml:space="preserve"> </w:t>
      </w:r>
      <w:r w:rsidRPr="00F5376D">
        <w:t>Offer SLAMs at varied times during the week</w:t>
      </w:r>
      <w:r w:rsidR="00421812">
        <w:t xml:space="preserve">. </w:t>
      </w:r>
      <w:r w:rsidRPr="00F5376D">
        <w:t xml:space="preserve">Attach </w:t>
      </w:r>
      <w:r>
        <w:t xml:space="preserve">scheduled </w:t>
      </w:r>
      <w:r w:rsidRPr="00F5376D">
        <w:t xml:space="preserve">SLAM </w:t>
      </w:r>
      <w:r>
        <w:t xml:space="preserve">sessions </w:t>
      </w:r>
      <w:r w:rsidRPr="00F5376D">
        <w:t xml:space="preserve">to </w:t>
      </w:r>
      <w:r w:rsidR="00421812">
        <w:t xml:space="preserve">individual sections of MATH 101 and indicate this on registration materials </w:t>
      </w:r>
      <w:r>
        <w:t xml:space="preserve">so </w:t>
      </w:r>
      <w:r w:rsidR="00421812">
        <w:t xml:space="preserve">that students </w:t>
      </w:r>
      <w:r>
        <w:t>elect to participate when registering for the course</w:t>
      </w:r>
      <w:r w:rsidR="00421812">
        <w:t>.</w:t>
      </w:r>
    </w:p>
    <w:p w:rsidR="00A46A9E" w:rsidRPr="00A46A9E" w:rsidRDefault="00A46A9E" w:rsidP="00612B11">
      <w:pPr>
        <w:spacing w:before="100" w:beforeAutospacing="1" w:after="100" w:afterAutospacing="1" w:line="240" w:lineRule="auto"/>
        <w:contextualSpacing/>
        <w:rPr>
          <w:sz w:val="16"/>
          <w:szCs w:val="16"/>
          <w:u w:val="single"/>
        </w:rPr>
      </w:pPr>
    </w:p>
    <w:p w:rsidR="00612B11" w:rsidRPr="00C2198C" w:rsidRDefault="00A46A9E" w:rsidP="00C2198C">
      <w:pPr>
        <w:spacing w:before="100" w:beforeAutospacing="1" w:after="100" w:afterAutospacing="1" w:line="240" w:lineRule="auto"/>
        <w:contextualSpacing/>
        <w:rPr>
          <w:b/>
          <w:szCs w:val="26"/>
          <w:u w:val="single"/>
        </w:rPr>
      </w:pPr>
      <w:r>
        <w:rPr>
          <w:b/>
          <w:szCs w:val="26"/>
        </w:rPr>
        <w:t>2.</w:t>
      </w:r>
      <w:r w:rsidR="0016549A">
        <w:rPr>
          <w:b/>
          <w:szCs w:val="26"/>
        </w:rPr>
        <w:t xml:space="preserve"> </w:t>
      </w:r>
      <w:r>
        <w:rPr>
          <w:b/>
          <w:szCs w:val="26"/>
        </w:rPr>
        <w:t xml:space="preserve"> </w:t>
      </w:r>
      <w:r w:rsidR="00842A29" w:rsidRPr="002620DD">
        <w:rPr>
          <w:b/>
          <w:i/>
          <w:szCs w:val="26"/>
          <w:u w:val="single"/>
        </w:rPr>
        <w:t>NEW ONLINE ACADEMIC PROBATION INTERVENTIONS (TLC 006 &amp; TLC 007) PILOT:</w:t>
      </w:r>
      <w:r w:rsidR="00D47ABE">
        <w:rPr>
          <w:b/>
          <w:szCs w:val="26"/>
        </w:rPr>
        <w:t xml:space="preserve">  </w:t>
      </w:r>
      <w:r w:rsidR="007824CE" w:rsidRPr="00421812">
        <w:rPr>
          <w:szCs w:val="26"/>
        </w:rPr>
        <w:t>Academic Success Coaches facilitated tw</w:t>
      </w:r>
      <w:r w:rsidR="009B2155">
        <w:rPr>
          <w:szCs w:val="26"/>
        </w:rPr>
        <w:t>o online interventions developed by Dr. Marianne Fallon and Dr. Kate Wall</w:t>
      </w:r>
      <w:r w:rsidR="00C9655A">
        <w:rPr>
          <w:szCs w:val="26"/>
        </w:rPr>
        <w:t xml:space="preserve">.  In total, 121 hours (20 per </w:t>
      </w:r>
      <w:r w:rsidR="007824CE" w:rsidRPr="00421812">
        <w:rPr>
          <w:szCs w:val="26"/>
        </w:rPr>
        <w:t>participating coach) were committed to these interventions over a span of six weeks.  78 students were served through these intervent</w:t>
      </w:r>
      <w:r w:rsidR="00396995">
        <w:rPr>
          <w:szCs w:val="26"/>
        </w:rPr>
        <w:t>ions</w:t>
      </w:r>
      <w:r w:rsidR="00C9655A">
        <w:rPr>
          <w:szCs w:val="26"/>
        </w:rPr>
        <w:t>.  In-service</w:t>
      </w:r>
      <w:r w:rsidR="007824CE" w:rsidRPr="00612B11">
        <w:rPr>
          <w:szCs w:val="26"/>
        </w:rPr>
        <w:t xml:space="preserve"> profession</w:t>
      </w:r>
      <w:r w:rsidR="00C9655A">
        <w:rPr>
          <w:szCs w:val="26"/>
        </w:rPr>
        <w:t xml:space="preserve">al development time was devoted to this new intervention </w:t>
      </w:r>
      <w:r w:rsidR="007824CE" w:rsidRPr="00612B11">
        <w:rPr>
          <w:szCs w:val="26"/>
        </w:rPr>
        <w:t>during weekly staff meetings wi</w:t>
      </w:r>
      <w:r w:rsidR="009B2155">
        <w:rPr>
          <w:szCs w:val="26"/>
        </w:rPr>
        <w:t>th input from Dr. Kathleen Wall</w:t>
      </w:r>
      <w:r w:rsidR="007824CE" w:rsidRPr="00612B11">
        <w:rPr>
          <w:vanish/>
        </w:rPr>
        <w:t>CCSU Travelers EDGE Program Manager and Deep Learning Coach CCSU Travelers EDGE Program Manager and Deep Learning Coach</w:t>
      </w:r>
      <w:r w:rsidR="00612B11">
        <w:t xml:space="preserve">. </w:t>
      </w:r>
      <w:r w:rsidR="00612B11" w:rsidRPr="00612B11">
        <w:rPr>
          <w:b/>
          <w:bCs/>
        </w:rPr>
        <w:t xml:space="preserve"> </w:t>
      </w:r>
    </w:p>
    <w:p w:rsidR="00C9655A" w:rsidRDefault="00C9655A" w:rsidP="00C9655A">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b/>
          <w:bCs/>
          <w:sz w:val="18"/>
          <w:szCs w:val="18"/>
        </w:rPr>
      </w:pPr>
      <w:r>
        <w:rPr>
          <w:b/>
          <w:bCs/>
          <w:sz w:val="18"/>
          <w:szCs w:val="18"/>
        </w:rPr>
        <w:t>Intervention descriptions:</w:t>
      </w:r>
    </w:p>
    <w:p w:rsidR="00612B11" w:rsidRPr="0016549A" w:rsidRDefault="00612B11" w:rsidP="001D126A">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bCs/>
          <w:sz w:val="18"/>
          <w:szCs w:val="18"/>
        </w:rPr>
      </w:pPr>
      <w:r w:rsidRPr="0016549A">
        <w:rPr>
          <w:b/>
          <w:bCs/>
          <w:sz w:val="18"/>
          <w:szCs w:val="18"/>
        </w:rPr>
        <w:t>TLC 006, Mindset for Success (online)</w:t>
      </w:r>
      <w:r w:rsidRPr="0016549A">
        <w:rPr>
          <w:bCs/>
          <w:sz w:val="18"/>
          <w:szCs w:val="18"/>
        </w:rPr>
        <w:t xml:space="preserve">:  Students explore how a growth mindset relates to academic performance.  Over the course of six weeks (at the onset of the semester), students navigate through online modules and engage in reflective activities using Blackboard Learn.  Module topics include, but are not limited to, neuroplasticity, character, self-care, and effective use of feedback.  Students are paired with an Academic Success Coach who provides regular feedback to assignments and makes available other, in-person services as needed.  </w:t>
      </w:r>
    </w:p>
    <w:p w:rsidR="00612B11" w:rsidRPr="0016549A" w:rsidRDefault="00612B11" w:rsidP="001D126A">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bCs/>
          <w:sz w:val="18"/>
          <w:szCs w:val="18"/>
        </w:rPr>
      </w:pPr>
      <w:r w:rsidRPr="0016549A">
        <w:rPr>
          <w:b/>
          <w:bCs/>
          <w:sz w:val="18"/>
          <w:szCs w:val="18"/>
        </w:rPr>
        <w:t>TLC 007, Character Strengths for Success (online)</w:t>
      </w:r>
      <w:r w:rsidRPr="0016549A">
        <w:rPr>
          <w:bCs/>
          <w:sz w:val="18"/>
          <w:szCs w:val="18"/>
        </w:rPr>
        <w:t xml:space="preserve">:  Students explore how character traits might influence academic performance.  Over the course of six weeks (at the onset of the semester), students navigate through online modules and engage in reflective activities using Blackboard Learn.  Module topics include, but are not limited to, grit, optimism, zest, self-control, gratitude, curiosity, and social intelligence.  Students are paired with an Academic Success Coach who provides regular feedback to assignments and makes available other, in-person services as needed.  </w:t>
      </w:r>
    </w:p>
    <w:tbl>
      <w:tblPr>
        <w:tblStyle w:val="GridTable4Accent1"/>
        <w:tblW w:w="0" w:type="auto"/>
        <w:tblLook w:val="04A0" w:firstRow="1" w:lastRow="0" w:firstColumn="1" w:lastColumn="0" w:noHBand="0" w:noVBand="1"/>
      </w:tblPr>
      <w:tblGrid>
        <w:gridCol w:w="1952"/>
        <w:gridCol w:w="2078"/>
        <w:gridCol w:w="2048"/>
        <w:gridCol w:w="2178"/>
        <w:gridCol w:w="2040"/>
      </w:tblGrid>
      <w:tr w:rsidR="00612B11" w:rsidTr="00C2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5"/>
            <w:shd w:val="clear" w:color="auto" w:fill="FFFFFF" w:themeFill="background1"/>
          </w:tcPr>
          <w:p w:rsidR="00612B11" w:rsidRPr="00C2198C" w:rsidRDefault="00612B11" w:rsidP="00C2198C">
            <w:pPr>
              <w:jc w:val="center"/>
              <w:rPr>
                <w:rFonts w:ascii="Calibri" w:eastAsia="Calibri" w:hAnsi="Calibri"/>
                <w:b w:val="0"/>
                <w:sz w:val="18"/>
                <w:szCs w:val="18"/>
              </w:rPr>
            </w:pPr>
            <w:r w:rsidRPr="00C2198C">
              <w:rPr>
                <w:b w:val="0"/>
                <w:color w:val="auto"/>
                <w:sz w:val="18"/>
                <w:szCs w:val="18"/>
              </w:rPr>
              <w:t>TLC 006 A MINDSET FOR SUCCESS (ONLINE)</w:t>
            </w:r>
            <w:r w:rsidR="00C2198C">
              <w:rPr>
                <w:b w:val="0"/>
                <w:color w:val="auto"/>
                <w:sz w:val="18"/>
                <w:szCs w:val="18"/>
              </w:rPr>
              <w:t xml:space="preserve">     </w:t>
            </w:r>
            <w:r w:rsidR="00C2198C" w:rsidRPr="00C2198C">
              <w:rPr>
                <w:b w:val="0"/>
                <w:color w:val="auto"/>
                <w:sz w:val="18"/>
                <w:szCs w:val="18"/>
              </w:rPr>
              <w:t xml:space="preserve"> (Completion rate=54%)</w:t>
            </w:r>
          </w:p>
        </w:tc>
      </w:tr>
      <w:tr w:rsidR="00612B11" w:rsidTr="00DF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shd w:val="clear" w:color="auto" w:fill="17365D" w:themeFill="text2" w:themeFillShade="BF"/>
          </w:tcPr>
          <w:p w:rsidR="00612B11" w:rsidRPr="001D126A" w:rsidRDefault="00612B11" w:rsidP="00612B11">
            <w:pPr>
              <w:spacing w:before="100" w:beforeAutospacing="1" w:after="100" w:afterAutospacing="1"/>
              <w:contextualSpacing/>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GPA Change</w:t>
            </w:r>
          </w:p>
        </w:tc>
        <w:tc>
          <w:tcPr>
            <w:tcW w:w="2078"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Passed</w:t>
            </w:r>
          </w:p>
        </w:tc>
        <w:tc>
          <w:tcPr>
            <w:tcW w:w="2048"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Failed</w:t>
            </w:r>
          </w:p>
        </w:tc>
        <w:tc>
          <w:tcPr>
            <w:tcW w:w="2178"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Withdrew</w:t>
            </w:r>
          </w:p>
        </w:tc>
        <w:tc>
          <w:tcPr>
            <w:tcW w:w="2040"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 xml:space="preserve">Overall </w:t>
            </w:r>
          </w:p>
        </w:tc>
      </w:tr>
      <w:tr w:rsidR="00612B11" w:rsidTr="00DF0F39">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Increase</w:t>
            </w:r>
          </w:p>
        </w:tc>
        <w:tc>
          <w:tcPr>
            <w:tcW w:w="2078"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67%</w:t>
            </w:r>
          </w:p>
        </w:tc>
        <w:tc>
          <w:tcPr>
            <w:tcW w:w="2048"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56%</w:t>
            </w:r>
          </w:p>
        </w:tc>
        <w:tc>
          <w:tcPr>
            <w:tcW w:w="2178" w:type="dxa"/>
          </w:tcPr>
          <w:p w:rsidR="00612B11" w:rsidRPr="001D126A" w:rsidRDefault="00612B11"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c>
          <w:tcPr>
            <w:tcW w:w="2040"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59%</w:t>
            </w:r>
          </w:p>
        </w:tc>
      </w:tr>
      <w:tr w:rsidR="00612B11" w:rsidTr="00DF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Decrease</w:t>
            </w:r>
          </w:p>
        </w:tc>
        <w:tc>
          <w:tcPr>
            <w:tcW w:w="2078" w:type="dxa"/>
          </w:tcPr>
          <w:p w:rsidR="00612B11" w:rsidRPr="001D126A" w:rsidRDefault="003B376A"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33%</w:t>
            </w:r>
          </w:p>
        </w:tc>
        <w:tc>
          <w:tcPr>
            <w:tcW w:w="2048" w:type="dxa"/>
          </w:tcPr>
          <w:p w:rsidR="00612B11" w:rsidRPr="001D126A" w:rsidRDefault="003B376A"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44%</w:t>
            </w:r>
          </w:p>
        </w:tc>
        <w:tc>
          <w:tcPr>
            <w:tcW w:w="2178" w:type="dxa"/>
          </w:tcPr>
          <w:p w:rsidR="00612B11" w:rsidRPr="001D126A" w:rsidRDefault="003B376A"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100%</w:t>
            </w:r>
          </w:p>
        </w:tc>
        <w:tc>
          <w:tcPr>
            <w:tcW w:w="2040" w:type="dxa"/>
          </w:tcPr>
          <w:p w:rsidR="00612B11" w:rsidRPr="001D126A" w:rsidRDefault="003B376A"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41%</w:t>
            </w:r>
          </w:p>
        </w:tc>
      </w:tr>
      <w:tr w:rsidR="00612B11" w:rsidTr="00DF0F39">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No Change</w:t>
            </w:r>
          </w:p>
        </w:tc>
        <w:tc>
          <w:tcPr>
            <w:tcW w:w="2078" w:type="dxa"/>
          </w:tcPr>
          <w:p w:rsidR="00612B11" w:rsidRPr="001D126A" w:rsidRDefault="00612B11"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c>
          <w:tcPr>
            <w:tcW w:w="2048" w:type="dxa"/>
          </w:tcPr>
          <w:p w:rsidR="00612B11" w:rsidRPr="001D126A" w:rsidRDefault="00612B11"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c>
          <w:tcPr>
            <w:tcW w:w="2178" w:type="dxa"/>
          </w:tcPr>
          <w:p w:rsidR="00612B11" w:rsidRPr="001D126A" w:rsidRDefault="00612B11"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c>
          <w:tcPr>
            <w:tcW w:w="2040" w:type="dxa"/>
          </w:tcPr>
          <w:p w:rsidR="00612B11" w:rsidRPr="001D126A" w:rsidRDefault="00612B11"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r>
      <w:tr w:rsidR="00612B11" w:rsidTr="00DF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Total students</w:t>
            </w:r>
          </w:p>
        </w:tc>
        <w:tc>
          <w:tcPr>
            <w:tcW w:w="2078"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21</w:t>
            </w:r>
          </w:p>
        </w:tc>
        <w:tc>
          <w:tcPr>
            <w:tcW w:w="2048"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16</w:t>
            </w:r>
          </w:p>
        </w:tc>
        <w:tc>
          <w:tcPr>
            <w:tcW w:w="2178"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2</w:t>
            </w:r>
          </w:p>
        </w:tc>
        <w:tc>
          <w:tcPr>
            <w:tcW w:w="2040"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39</w:t>
            </w:r>
          </w:p>
        </w:tc>
      </w:tr>
      <w:tr w:rsidR="00612B11" w:rsidTr="00DF0F39">
        <w:tc>
          <w:tcPr>
            <w:cnfStyle w:val="001000000000" w:firstRow="0" w:lastRow="0" w:firstColumn="1" w:lastColumn="0" w:oddVBand="0" w:evenVBand="0" w:oddHBand="0" w:evenHBand="0" w:firstRowFirstColumn="0" w:firstRowLastColumn="0" w:lastRowFirstColumn="0" w:lastRowLastColumn="0"/>
            <w:tcW w:w="10296" w:type="dxa"/>
            <w:gridSpan w:val="5"/>
          </w:tcPr>
          <w:p w:rsidR="00612B11" w:rsidRPr="001D126A" w:rsidRDefault="00612B11" w:rsidP="00612B11">
            <w:pPr>
              <w:spacing w:before="100" w:beforeAutospacing="1" w:after="100" w:afterAutospacing="1"/>
              <w:contextualSpacing/>
              <w:jc w:val="center"/>
              <w:rPr>
                <w:rFonts w:ascii="Calibri" w:eastAsia="Calibri" w:hAnsi="Calibri" w:cs="Calibri"/>
                <w:b w:val="0"/>
                <w:sz w:val="18"/>
                <w:szCs w:val="18"/>
              </w:rPr>
            </w:pPr>
            <w:r w:rsidRPr="001D126A">
              <w:rPr>
                <w:rFonts w:cs="Calibri"/>
                <w:b w:val="0"/>
                <w:sz w:val="18"/>
                <w:szCs w:val="18"/>
              </w:rPr>
              <w:t>TLC 007 CHARACTER STRENGTHS FOR SUCCESS (ONLINE)</w:t>
            </w:r>
            <w:r w:rsidR="00C2198C" w:rsidRPr="001D126A">
              <w:rPr>
                <w:rFonts w:cs="Calibri"/>
                <w:b w:val="0"/>
                <w:sz w:val="18"/>
                <w:szCs w:val="18"/>
              </w:rPr>
              <w:t xml:space="preserve">      (Completion rate=76%)</w:t>
            </w:r>
          </w:p>
        </w:tc>
      </w:tr>
      <w:tr w:rsidR="00612B11" w:rsidTr="00DF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shd w:val="clear" w:color="auto" w:fill="17365D" w:themeFill="text2" w:themeFillShade="BF"/>
          </w:tcPr>
          <w:p w:rsidR="00612B11" w:rsidRPr="001D126A" w:rsidRDefault="00612B11" w:rsidP="00612B11">
            <w:pPr>
              <w:spacing w:before="100" w:beforeAutospacing="1" w:after="100" w:afterAutospacing="1"/>
              <w:contextualSpacing/>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GPA Change</w:t>
            </w:r>
          </w:p>
        </w:tc>
        <w:tc>
          <w:tcPr>
            <w:tcW w:w="2078"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Passed</w:t>
            </w:r>
          </w:p>
        </w:tc>
        <w:tc>
          <w:tcPr>
            <w:tcW w:w="2048"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Failed</w:t>
            </w:r>
          </w:p>
        </w:tc>
        <w:tc>
          <w:tcPr>
            <w:tcW w:w="2178"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Withdrew</w:t>
            </w:r>
          </w:p>
        </w:tc>
        <w:tc>
          <w:tcPr>
            <w:tcW w:w="2040" w:type="dxa"/>
            <w:shd w:val="clear" w:color="auto" w:fill="17365D" w:themeFill="text2" w:themeFillShade="BF"/>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szCs w:val="18"/>
              </w:rPr>
            </w:pPr>
            <w:r w:rsidRPr="001D126A">
              <w:rPr>
                <w:rFonts w:ascii="Calibri" w:eastAsia="Calibri" w:hAnsi="Calibri" w:cs="Calibri"/>
                <w:color w:val="FFFFFF" w:themeColor="background1"/>
                <w:sz w:val="18"/>
                <w:szCs w:val="18"/>
              </w:rPr>
              <w:t xml:space="preserve">Overall </w:t>
            </w:r>
          </w:p>
        </w:tc>
      </w:tr>
      <w:tr w:rsidR="00612B11" w:rsidTr="00DF0F39">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Increase</w:t>
            </w:r>
          </w:p>
        </w:tc>
        <w:tc>
          <w:tcPr>
            <w:tcW w:w="2078"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82%</w:t>
            </w:r>
          </w:p>
        </w:tc>
        <w:tc>
          <w:tcPr>
            <w:tcW w:w="2048"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43%</w:t>
            </w:r>
          </w:p>
        </w:tc>
        <w:tc>
          <w:tcPr>
            <w:tcW w:w="2178" w:type="dxa"/>
          </w:tcPr>
          <w:p w:rsidR="00612B11" w:rsidRPr="001D126A" w:rsidRDefault="00612B11"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c>
          <w:tcPr>
            <w:tcW w:w="2040"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72%</w:t>
            </w:r>
          </w:p>
        </w:tc>
      </w:tr>
      <w:tr w:rsidR="00612B11" w:rsidTr="00DF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Decrease</w:t>
            </w:r>
          </w:p>
        </w:tc>
        <w:tc>
          <w:tcPr>
            <w:tcW w:w="2078" w:type="dxa"/>
          </w:tcPr>
          <w:p w:rsidR="00612B11" w:rsidRPr="001D126A" w:rsidRDefault="003B376A"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18%</w:t>
            </w:r>
          </w:p>
        </w:tc>
        <w:tc>
          <w:tcPr>
            <w:tcW w:w="2048" w:type="dxa"/>
          </w:tcPr>
          <w:p w:rsidR="00612B11" w:rsidRPr="001D126A" w:rsidRDefault="003B376A"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43%</w:t>
            </w:r>
          </w:p>
        </w:tc>
        <w:tc>
          <w:tcPr>
            <w:tcW w:w="2178"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c>
          <w:tcPr>
            <w:tcW w:w="2040" w:type="dxa"/>
          </w:tcPr>
          <w:p w:rsidR="00612B11" w:rsidRPr="001D126A" w:rsidRDefault="003B376A"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22%</w:t>
            </w:r>
          </w:p>
        </w:tc>
      </w:tr>
      <w:tr w:rsidR="00612B11" w:rsidTr="00DF0F39">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No Change</w:t>
            </w:r>
          </w:p>
        </w:tc>
        <w:tc>
          <w:tcPr>
            <w:tcW w:w="2078" w:type="dxa"/>
          </w:tcPr>
          <w:p w:rsidR="00612B11" w:rsidRPr="001D126A" w:rsidRDefault="00612B11"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0</w:t>
            </w:r>
          </w:p>
        </w:tc>
        <w:tc>
          <w:tcPr>
            <w:tcW w:w="2048"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14%</w:t>
            </w:r>
          </w:p>
        </w:tc>
        <w:tc>
          <w:tcPr>
            <w:tcW w:w="2178"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100%</w:t>
            </w:r>
          </w:p>
        </w:tc>
        <w:tc>
          <w:tcPr>
            <w:tcW w:w="2040" w:type="dxa"/>
          </w:tcPr>
          <w:p w:rsidR="00612B11" w:rsidRPr="001D126A" w:rsidRDefault="003B376A" w:rsidP="00612B1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6%</w:t>
            </w:r>
          </w:p>
        </w:tc>
      </w:tr>
      <w:tr w:rsidR="00612B11" w:rsidTr="00DF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Pr>
          <w:p w:rsidR="00612B11" w:rsidRPr="001D126A" w:rsidRDefault="00612B11" w:rsidP="00612B11">
            <w:pPr>
              <w:spacing w:before="100" w:beforeAutospacing="1" w:after="100" w:afterAutospacing="1"/>
              <w:contextualSpacing/>
              <w:rPr>
                <w:rFonts w:ascii="Calibri" w:eastAsia="Calibri" w:hAnsi="Calibri" w:cs="Calibri"/>
                <w:sz w:val="18"/>
                <w:szCs w:val="18"/>
              </w:rPr>
            </w:pPr>
            <w:r w:rsidRPr="001D126A">
              <w:rPr>
                <w:rFonts w:ascii="Calibri" w:eastAsia="Calibri" w:hAnsi="Calibri" w:cs="Calibri"/>
                <w:sz w:val="18"/>
                <w:szCs w:val="18"/>
              </w:rPr>
              <w:t>Total students</w:t>
            </w:r>
          </w:p>
        </w:tc>
        <w:tc>
          <w:tcPr>
            <w:tcW w:w="2078"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28</w:t>
            </w:r>
          </w:p>
        </w:tc>
        <w:tc>
          <w:tcPr>
            <w:tcW w:w="2048"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7</w:t>
            </w:r>
          </w:p>
        </w:tc>
        <w:tc>
          <w:tcPr>
            <w:tcW w:w="2178"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1</w:t>
            </w:r>
          </w:p>
        </w:tc>
        <w:tc>
          <w:tcPr>
            <w:tcW w:w="2040" w:type="dxa"/>
          </w:tcPr>
          <w:p w:rsidR="00612B11" w:rsidRPr="001D126A" w:rsidRDefault="00612B11" w:rsidP="00612B11">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1D126A">
              <w:rPr>
                <w:rFonts w:ascii="Calibri" w:eastAsia="Calibri" w:hAnsi="Calibri" w:cs="Calibri"/>
                <w:sz w:val="18"/>
                <w:szCs w:val="18"/>
              </w:rPr>
              <w:t>36</w:t>
            </w:r>
          </w:p>
        </w:tc>
      </w:tr>
    </w:tbl>
    <w:p w:rsidR="00D47ABE" w:rsidRPr="002620DD" w:rsidRDefault="00842A29" w:rsidP="00D47ABE">
      <w:pPr>
        <w:pStyle w:val="ListParagraph"/>
        <w:numPr>
          <w:ilvl w:val="0"/>
          <w:numId w:val="25"/>
        </w:numPr>
        <w:spacing w:before="100" w:beforeAutospacing="1" w:after="100" w:afterAutospacing="1" w:line="240" w:lineRule="auto"/>
        <w:rPr>
          <w:i/>
          <w:u w:val="single"/>
        </w:rPr>
      </w:pPr>
      <w:r>
        <w:rPr>
          <w:b/>
          <w:i/>
          <w:szCs w:val="26"/>
          <w:u w:val="single"/>
        </w:rPr>
        <w:t>T</w:t>
      </w:r>
      <w:r w:rsidRPr="002620DD">
        <w:rPr>
          <w:b/>
          <w:i/>
          <w:szCs w:val="26"/>
          <w:u w:val="single"/>
        </w:rPr>
        <w:t xml:space="preserve">RAVELER’S EDGE PROGRAM </w:t>
      </w:r>
    </w:p>
    <w:p w:rsidR="00D47ABE" w:rsidRPr="00D47ABE" w:rsidRDefault="009B2155" w:rsidP="00D47ABE">
      <w:pPr>
        <w:pStyle w:val="ListParagraph"/>
        <w:spacing w:before="100" w:beforeAutospacing="1" w:after="100" w:afterAutospacing="1" w:line="240" w:lineRule="auto"/>
        <w:ind w:left="0"/>
      </w:pPr>
      <w:r>
        <w:rPr>
          <w:szCs w:val="26"/>
        </w:rPr>
        <w:t>A Making the Dean’s List section</w:t>
      </w:r>
      <w:r w:rsidR="007824CE" w:rsidRPr="00D47ABE">
        <w:rPr>
          <w:szCs w:val="26"/>
        </w:rPr>
        <w:t xml:space="preserve"> (TLC 004-07) was designated spec</w:t>
      </w:r>
      <w:r>
        <w:rPr>
          <w:szCs w:val="26"/>
        </w:rPr>
        <w:t>ifically to Edge Scholars in</w:t>
      </w:r>
      <w:r w:rsidR="007824CE" w:rsidRPr="00D47ABE">
        <w:rPr>
          <w:szCs w:val="26"/>
        </w:rPr>
        <w:t xml:space="preserve"> the Fall 2014 semester.  </w:t>
      </w:r>
    </w:p>
    <w:p w:rsidR="00D47ABE" w:rsidRPr="002620DD" w:rsidRDefault="00842A29" w:rsidP="00D47ABE">
      <w:pPr>
        <w:pStyle w:val="ListParagraph"/>
        <w:numPr>
          <w:ilvl w:val="0"/>
          <w:numId w:val="25"/>
        </w:numPr>
        <w:spacing w:before="100" w:beforeAutospacing="1" w:after="100" w:afterAutospacing="1" w:line="240" w:lineRule="auto"/>
        <w:rPr>
          <w:rFonts w:asciiTheme="majorHAnsi" w:hAnsiTheme="majorHAnsi"/>
          <w:b/>
          <w:i/>
          <w:szCs w:val="26"/>
          <w:u w:val="single"/>
        </w:rPr>
      </w:pPr>
      <w:r w:rsidRPr="002620DD">
        <w:rPr>
          <w:rFonts w:ascii="Calibri" w:hAnsi="Calibri"/>
          <w:b/>
          <w:i/>
          <w:color w:val="000000"/>
          <w:u w:val="single"/>
        </w:rPr>
        <w:t xml:space="preserve">YEAR ONE LIVING LEARNING COMMUNITY (YOLLC)  </w:t>
      </w:r>
    </w:p>
    <w:p w:rsidR="00C9655A" w:rsidRDefault="007824CE" w:rsidP="00D47ABE">
      <w:pPr>
        <w:pStyle w:val="ListParagraph"/>
        <w:spacing w:before="100" w:beforeAutospacing="1" w:after="100" w:afterAutospacing="1" w:line="240" w:lineRule="auto"/>
        <w:ind w:left="0"/>
      </w:pPr>
      <w:r w:rsidRPr="00D47ABE">
        <w:rPr>
          <w:rFonts w:eastAsia="Times New Roman" w:cs="Times New Roman"/>
        </w:rPr>
        <w:t xml:space="preserve">The purpose of YOLLC is to provide academic assistance, in the form of TLC-facilitated workshops, to improve academic performance and to increase a sense of community within residence halls. YOLLC events were also used to help freshman residents make the transition from high school to college level learning and become familiar with campus resources.  </w:t>
      </w:r>
      <w:r w:rsidR="00D47ABE">
        <w:t xml:space="preserve"> </w:t>
      </w:r>
      <w:r w:rsidRPr="00D47ABE">
        <w:rPr>
          <w:szCs w:val="26"/>
        </w:rPr>
        <w:t xml:space="preserve">Over the course of the 2014-2015 Academic Year, </w:t>
      </w:r>
      <w:r w:rsidR="00D47ABE">
        <w:rPr>
          <w:rFonts w:eastAsia="Times New Roman" w:cs="Times New Roman"/>
        </w:rPr>
        <w:t>17 events were facilitated by TLC Coaches in the residence ha</w:t>
      </w:r>
      <w:r w:rsidR="00280F2D">
        <w:rPr>
          <w:rFonts w:eastAsia="Times New Roman" w:cs="Times New Roman"/>
        </w:rPr>
        <w:t xml:space="preserve">lls </w:t>
      </w:r>
      <w:r w:rsidR="00D47ABE">
        <w:rPr>
          <w:rFonts w:eastAsia="Times New Roman" w:cs="Times New Roman"/>
        </w:rPr>
        <w:t xml:space="preserve">with 212 participants. </w:t>
      </w:r>
      <w:r>
        <w:t>An i</w:t>
      </w:r>
      <w:r w:rsidRPr="008129EC">
        <w:t xml:space="preserve">nstructional </w:t>
      </w:r>
      <w:r w:rsidR="00D47ABE">
        <w:t>guide has been</w:t>
      </w:r>
      <w:r w:rsidRPr="008129EC">
        <w:t xml:space="preserve"> created to formalize processes and enable smooth transitioning to future facilitators.</w:t>
      </w:r>
      <w:r w:rsidR="00C9655A">
        <w:t xml:space="preserve"> </w:t>
      </w:r>
    </w:p>
    <w:p w:rsidR="00C9655A" w:rsidRDefault="00C9655A" w:rsidP="003B376A">
      <w:pPr>
        <w:pStyle w:val="ListParagraph"/>
        <w:numPr>
          <w:ilvl w:val="0"/>
          <w:numId w:val="34"/>
        </w:numPr>
        <w:spacing w:before="100" w:beforeAutospacing="1" w:after="100" w:afterAutospacing="1" w:line="240" w:lineRule="auto"/>
        <w:jc w:val="center"/>
        <w:rPr>
          <w:b/>
        </w:rPr>
      </w:pPr>
      <w:r w:rsidRPr="003B376A">
        <w:rPr>
          <w:b/>
        </w:rPr>
        <w:lastRenderedPageBreak/>
        <w:t>Significant Accomplishments</w:t>
      </w:r>
    </w:p>
    <w:p w:rsidR="003B376A" w:rsidRPr="003B376A" w:rsidRDefault="003B376A" w:rsidP="003B376A">
      <w:pPr>
        <w:pStyle w:val="ListParagraph"/>
        <w:spacing w:before="100" w:beforeAutospacing="1" w:after="100" w:afterAutospacing="1" w:line="240" w:lineRule="auto"/>
        <w:rPr>
          <w:b/>
        </w:rPr>
      </w:pPr>
    </w:p>
    <w:p w:rsidR="0016549A" w:rsidRPr="002620DD" w:rsidRDefault="0016549A" w:rsidP="002620DD">
      <w:pPr>
        <w:pStyle w:val="ListParagraph"/>
        <w:numPr>
          <w:ilvl w:val="0"/>
          <w:numId w:val="29"/>
        </w:numPr>
        <w:spacing w:before="100" w:beforeAutospacing="1" w:after="100" w:afterAutospacing="1" w:line="240" w:lineRule="auto"/>
        <w:rPr>
          <w:bCs/>
          <w:iCs/>
        </w:rPr>
      </w:pPr>
      <w:r w:rsidRPr="002620DD">
        <w:rPr>
          <w:bCs/>
          <w:iCs/>
        </w:rPr>
        <w:t xml:space="preserve">Designed and delivered a session to inspire student engagement in co-curricular opportunities for the Central Starts Now-Advising and Information Programs for incoming first year students and their parents. </w:t>
      </w:r>
    </w:p>
    <w:p w:rsidR="0016549A" w:rsidRPr="002620DD" w:rsidRDefault="001B6C1A" w:rsidP="002620DD">
      <w:pPr>
        <w:pStyle w:val="ListParagraph"/>
        <w:numPr>
          <w:ilvl w:val="0"/>
          <w:numId w:val="29"/>
        </w:numPr>
        <w:spacing w:before="100" w:beforeAutospacing="1" w:after="100" w:afterAutospacing="1" w:line="240" w:lineRule="auto"/>
        <w:rPr>
          <w:bCs/>
          <w:iCs/>
        </w:rPr>
      </w:pPr>
      <w:r>
        <w:rPr>
          <w:bCs/>
          <w:iCs/>
        </w:rPr>
        <w:t xml:space="preserve">Developed a student success curriculum </w:t>
      </w:r>
      <w:r w:rsidR="0016549A" w:rsidRPr="002620DD">
        <w:rPr>
          <w:bCs/>
          <w:iCs/>
        </w:rPr>
        <w:t>for the Bridges Summer Program</w:t>
      </w:r>
      <w:r>
        <w:rPr>
          <w:bCs/>
          <w:iCs/>
        </w:rPr>
        <w:t xml:space="preserve"> that addresses the non-cognitive variables that influence student success.  (Personal responsi</w:t>
      </w:r>
      <w:r w:rsidR="003B376A">
        <w:rPr>
          <w:bCs/>
          <w:iCs/>
        </w:rPr>
        <w:t>bility, mindset, resiliency, and study strategies, etc.</w:t>
      </w:r>
      <w:r>
        <w:rPr>
          <w:bCs/>
          <w:iCs/>
        </w:rPr>
        <w:t>)</w:t>
      </w:r>
    </w:p>
    <w:p w:rsidR="0016549A" w:rsidRDefault="0016549A" w:rsidP="002620DD">
      <w:pPr>
        <w:pStyle w:val="ListParagraph"/>
        <w:numPr>
          <w:ilvl w:val="0"/>
          <w:numId w:val="29"/>
        </w:numPr>
        <w:spacing w:before="100" w:beforeAutospacing="1" w:after="100" w:afterAutospacing="1" w:line="240" w:lineRule="auto"/>
        <w:rPr>
          <w:bCs/>
          <w:iCs/>
        </w:rPr>
      </w:pPr>
      <w:r w:rsidRPr="002620DD">
        <w:rPr>
          <w:bCs/>
          <w:iCs/>
        </w:rPr>
        <w:t>Expan</w:t>
      </w:r>
      <w:r w:rsidR="001B6C1A">
        <w:rPr>
          <w:bCs/>
          <w:iCs/>
        </w:rPr>
        <w:t>ded TLC</w:t>
      </w:r>
      <w:r w:rsidR="00237387">
        <w:rPr>
          <w:bCs/>
          <w:iCs/>
        </w:rPr>
        <w:t xml:space="preserve"> social media presence by using </w:t>
      </w:r>
      <w:r w:rsidRPr="002620DD">
        <w:rPr>
          <w:bCs/>
          <w:iCs/>
        </w:rPr>
        <w:t>Twitter</w:t>
      </w:r>
      <w:r w:rsidR="001B6C1A">
        <w:rPr>
          <w:bCs/>
          <w:iCs/>
        </w:rPr>
        <w:t>.</w:t>
      </w:r>
      <w:r w:rsidRPr="002620DD">
        <w:rPr>
          <w:bCs/>
          <w:iCs/>
        </w:rPr>
        <w:t xml:space="preserve"> </w:t>
      </w:r>
    </w:p>
    <w:p w:rsidR="0016549A" w:rsidRPr="00597235" w:rsidRDefault="00597235" w:rsidP="00612B11">
      <w:pPr>
        <w:pStyle w:val="ListParagraph"/>
        <w:numPr>
          <w:ilvl w:val="0"/>
          <w:numId w:val="29"/>
        </w:numPr>
        <w:spacing w:before="100" w:beforeAutospacing="1" w:after="100" w:afterAutospacing="1" w:line="240" w:lineRule="auto"/>
        <w:rPr>
          <w:bCs/>
          <w:iCs/>
        </w:rPr>
      </w:pPr>
      <w:r>
        <w:rPr>
          <w:bCs/>
          <w:iCs/>
        </w:rPr>
        <w:t>Provided leadership for the development of the RFP for Retention Management/Early Alert Software and reviewed submissions.</w:t>
      </w:r>
    </w:p>
    <w:p w:rsidR="00F44357" w:rsidRDefault="00A52062" w:rsidP="00597235">
      <w:pPr>
        <w:spacing w:before="100" w:beforeAutospacing="1" w:after="100" w:afterAutospacing="1" w:line="240" w:lineRule="auto"/>
        <w:contextualSpacing/>
        <w:jc w:val="center"/>
        <w:rPr>
          <w:b/>
          <w:bCs/>
          <w:iCs/>
        </w:rPr>
      </w:pPr>
      <w:r>
        <w:rPr>
          <w:b/>
          <w:bCs/>
          <w:iCs/>
        </w:rPr>
        <w:t>F</w:t>
      </w:r>
      <w:r w:rsidR="002620DD">
        <w:rPr>
          <w:b/>
          <w:bCs/>
          <w:iCs/>
        </w:rPr>
        <w:t xml:space="preserve">. </w:t>
      </w:r>
      <w:r w:rsidR="00F44357" w:rsidRPr="00F44357">
        <w:rPr>
          <w:b/>
          <w:bCs/>
          <w:iCs/>
        </w:rPr>
        <w:t>Assessment</w:t>
      </w:r>
    </w:p>
    <w:p w:rsidR="001B6C1A" w:rsidRPr="00F77F80" w:rsidRDefault="001B6C1A" w:rsidP="00597235">
      <w:pPr>
        <w:spacing w:before="100" w:beforeAutospacing="1" w:after="100" w:afterAutospacing="1" w:line="240" w:lineRule="auto"/>
        <w:contextualSpacing/>
        <w:jc w:val="center"/>
        <w:rPr>
          <w:b/>
          <w:bCs/>
          <w:iCs/>
          <w:sz w:val="16"/>
          <w:szCs w:val="16"/>
        </w:rPr>
      </w:pPr>
    </w:p>
    <w:p w:rsidR="009B2155" w:rsidRDefault="009625EB" w:rsidP="00F77F80">
      <w:pPr>
        <w:spacing w:before="100" w:beforeAutospacing="1" w:after="100" w:afterAutospacing="1" w:line="240" w:lineRule="auto"/>
        <w:contextualSpacing/>
        <w:rPr>
          <w:bCs/>
          <w:iCs/>
        </w:rPr>
      </w:pPr>
      <w:r w:rsidRPr="009625EB">
        <w:rPr>
          <w:b/>
          <w:bCs/>
          <w:iCs/>
        </w:rPr>
        <w:t>Summary:</w:t>
      </w:r>
      <w:r>
        <w:rPr>
          <w:bCs/>
          <w:iCs/>
        </w:rPr>
        <w:t xml:space="preserve">  </w:t>
      </w:r>
      <w:r w:rsidR="00597235">
        <w:rPr>
          <w:bCs/>
          <w:iCs/>
        </w:rPr>
        <w:t>Assessment of spec</w:t>
      </w:r>
      <w:r w:rsidR="00A52062">
        <w:rPr>
          <w:bCs/>
          <w:iCs/>
        </w:rPr>
        <w:t xml:space="preserve">ial initiatives can be found in </w:t>
      </w:r>
      <w:r w:rsidR="00597235">
        <w:rPr>
          <w:bCs/>
          <w:iCs/>
        </w:rPr>
        <w:t>section D.  An examination of the impact of participation in tutoring, academic coaching, and</w:t>
      </w:r>
      <w:r>
        <w:rPr>
          <w:bCs/>
          <w:iCs/>
        </w:rPr>
        <w:t xml:space="preserve"> meetings to address</w:t>
      </w:r>
      <w:r w:rsidR="00597235">
        <w:rPr>
          <w:bCs/>
          <w:iCs/>
        </w:rPr>
        <w:t xml:space="preserve"> early alert</w:t>
      </w:r>
      <w:r>
        <w:rPr>
          <w:bCs/>
          <w:iCs/>
        </w:rPr>
        <w:t>s</w:t>
      </w:r>
      <w:r w:rsidR="00597235">
        <w:rPr>
          <w:bCs/>
          <w:iCs/>
        </w:rPr>
        <w:t xml:space="preserve"> on retention, credit accumulation, and academic performance over time was conducted with the assistance of Yvonne Kirby.  Although a selection of findings will be included here</w:t>
      </w:r>
      <w:r w:rsidR="00F77F80">
        <w:rPr>
          <w:bCs/>
          <w:iCs/>
        </w:rPr>
        <w:t xml:space="preserve"> (3)</w:t>
      </w:r>
      <w:r w:rsidR="00597235">
        <w:rPr>
          <w:bCs/>
          <w:iCs/>
        </w:rPr>
        <w:t>, a full report is</w:t>
      </w:r>
      <w:r w:rsidR="00F77F80">
        <w:rPr>
          <w:bCs/>
          <w:iCs/>
        </w:rPr>
        <w:t xml:space="preserve"> forthcoming.   Additionally, the Lead Academic Coach</w:t>
      </w:r>
      <w:r w:rsidR="00597235">
        <w:rPr>
          <w:bCs/>
          <w:iCs/>
        </w:rPr>
        <w:t xml:space="preserve"> examined the effect </w:t>
      </w:r>
      <w:r w:rsidR="00A52062">
        <w:rPr>
          <w:bCs/>
          <w:iCs/>
        </w:rPr>
        <w:t>of</w:t>
      </w:r>
      <w:r w:rsidR="00597235">
        <w:rPr>
          <w:bCs/>
          <w:iCs/>
        </w:rPr>
        <w:t xml:space="preserve"> partic</w:t>
      </w:r>
      <w:r w:rsidR="00DF0F39">
        <w:rPr>
          <w:bCs/>
          <w:iCs/>
        </w:rPr>
        <w:t xml:space="preserve">ipation, or lack thereof, in a newly designed </w:t>
      </w:r>
      <w:r w:rsidR="00597235">
        <w:rPr>
          <w:bCs/>
          <w:iCs/>
        </w:rPr>
        <w:t>Academic Success session that probationary students attend prior to the start of school</w:t>
      </w:r>
      <w:r w:rsidR="00F77F80">
        <w:rPr>
          <w:bCs/>
          <w:iCs/>
        </w:rPr>
        <w:t xml:space="preserve"> </w:t>
      </w:r>
      <w:r w:rsidR="00A52062">
        <w:rPr>
          <w:bCs/>
          <w:iCs/>
        </w:rPr>
        <w:t xml:space="preserve">on GPA </w:t>
      </w:r>
      <w:r w:rsidR="00F77F80">
        <w:rPr>
          <w:bCs/>
          <w:iCs/>
        </w:rPr>
        <w:t xml:space="preserve">(1). </w:t>
      </w:r>
      <w:r w:rsidR="00597235">
        <w:rPr>
          <w:bCs/>
          <w:iCs/>
        </w:rPr>
        <w:t xml:space="preserve"> </w:t>
      </w:r>
      <w:r w:rsidR="00F77F80">
        <w:rPr>
          <w:bCs/>
          <w:iCs/>
        </w:rPr>
        <w:t xml:space="preserve">She also provides academic performance data for each TLC Academic Intervention (2). </w:t>
      </w:r>
    </w:p>
    <w:p w:rsidR="00C9655A" w:rsidRPr="00C9655A" w:rsidRDefault="00C9655A" w:rsidP="00F77F80">
      <w:pPr>
        <w:spacing w:before="100" w:beforeAutospacing="1" w:after="100" w:afterAutospacing="1" w:line="240" w:lineRule="auto"/>
        <w:contextualSpacing/>
        <w:rPr>
          <w:bCs/>
          <w:iCs/>
          <w:sz w:val="16"/>
          <w:szCs w:val="16"/>
        </w:rPr>
      </w:pPr>
    </w:p>
    <w:p w:rsidR="00B87521" w:rsidRPr="00157900" w:rsidRDefault="00157900" w:rsidP="00B87521">
      <w:pPr>
        <w:spacing w:before="100" w:beforeAutospacing="1" w:after="100" w:afterAutospacing="1" w:line="240" w:lineRule="auto"/>
        <w:jc w:val="center"/>
        <w:rPr>
          <w:b/>
          <w:bCs/>
          <w:i/>
          <w:iCs/>
        </w:rPr>
      </w:pPr>
      <w:r>
        <w:rPr>
          <w:b/>
          <w:bCs/>
          <w:i/>
          <w:iCs/>
        </w:rPr>
        <w:t>(1)</w:t>
      </w:r>
      <w:r w:rsidR="00F77F80" w:rsidRPr="00157900">
        <w:rPr>
          <w:b/>
          <w:bCs/>
          <w:i/>
          <w:iCs/>
        </w:rPr>
        <w:t>Assessment of the impact of participation in TLC Interventions and the pre-s</w:t>
      </w:r>
      <w:r w:rsidR="00A52062">
        <w:rPr>
          <w:b/>
          <w:bCs/>
          <w:i/>
          <w:iCs/>
        </w:rPr>
        <w:t>emester Academic Success Session</w:t>
      </w:r>
      <w:r w:rsidR="00F77F80" w:rsidRPr="00157900">
        <w:rPr>
          <w:b/>
          <w:bCs/>
          <w:i/>
          <w:iCs/>
        </w:rPr>
        <w:t xml:space="preserve"> on improving grade point average for students on academic probation</w:t>
      </w:r>
      <w:r>
        <w:rPr>
          <w:b/>
          <w:bCs/>
          <w:i/>
          <w:iCs/>
        </w:rPr>
        <w:t xml:space="preserve"> </w:t>
      </w:r>
      <w:r w:rsidR="00B87521" w:rsidRPr="00157900">
        <w:rPr>
          <w:b/>
          <w:bCs/>
          <w:i/>
          <w:iCs/>
        </w:rPr>
        <w:t xml:space="preserve"> </w:t>
      </w:r>
    </w:p>
    <w:p w:rsidR="00962F63" w:rsidRDefault="00B87521" w:rsidP="00962F63">
      <w:pPr>
        <w:spacing w:before="100" w:beforeAutospacing="1" w:after="100" w:afterAutospacing="1" w:line="240" w:lineRule="auto"/>
        <w:rPr>
          <w:bCs/>
          <w:iCs/>
          <w:sz w:val="20"/>
          <w:szCs w:val="20"/>
        </w:rPr>
      </w:pPr>
      <w:r>
        <w:rPr>
          <w:bCs/>
          <w:iCs/>
          <w:sz w:val="20"/>
          <w:szCs w:val="20"/>
        </w:rPr>
        <w:t>O</w:t>
      </w:r>
      <w:r w:rsidR="00AC2076" w:rsidRPr="00B87521">
        <w:rPr>
          <w:bCs/>
          <w:iCs/>
          <w:sz w:val="20"/>
          <w:szCs w:val="20"/>
        </w:rPr>
        <w:t xml:space="preserve">bjective: To view the compound effect of </w:t>
      </w:r>
      <w:r w:rsidR="009625EB">
        <w:rPr>
          <w:bCs/>
          <w:iCs/>
          <w:sz w:val="20"/>
          <w:szCs w:val="20"/>
        </w:rPr>
        <w:t xml:space="preserve">attendance of a </w:t>
      </w:r>
      <w:r w:rsidR="001B6C1A" w:rsidRPr="00B87521">
        <w:rPr>
          <w:bCs/>
          <w:iCs/>
          <w:sz w:val="20"/>
          <w:szCs w:val="20"/>
        </w:rPr>
        <w:t xml:space="preserve">pre-semester </w:t>
      </w:r>
      <w:r w:rsidR="00280F2D" w:rsidRPr="00B87521">
        <w:rPr>
          <w:bCs/>
          <w:iCs/>
          <w:sz w:val="20"/>
          <w:szCs w:val="20"/>
        </w:rPr>
        <w:t>Academic Success</w:t>
      </w:r>
      <w:r w:rsidR="00AC2076" w:rsidRPr="00B87521">
        <w:rPr>
          <w:bCs/>
          <w:iCs/>
          <w:sz w:val="20"/>
          <w:szCs w:val="20"/>
        </w:rPr>
        <w:t xml:space="preserve"> s</w:t>
      </w:r>
      <w:r w:rsidR="00280F2D" w:rsidRPr="00B87521">
        <w:rPr>
          <w:bCs/>
          <w:iCs/>
          <w:sz w:val="20"/>
          <w:szCs w:val="20"/>
        </w:rPr>
        <w:t>ession attendance and TLC</w:t>
      </w:r>
      <w:r w:rsidR="00AC2076" w:rsidRPr="00B87521">
        <w:rPr>
          <w:bCs/>
          <w:iCs/>
          <w:sz w:val="20"/>
          <w:szCs w:val="20"/>
        </w:rPr>
        <w:t xml:space="preserve"> academic intervention participation</w:t>
      </w:r>
      <w:r w:rsidR="001B6C1A" w:rsidRPr="00B87521">
        <w:rPr>
          <w:bCs/>
          <w:iCs/>
          <w:sz w:val="20"/>
          <w:szCs w:val="20"/>
        </w:rPr>
        <w:t xml:space="preserve"> on academic performance</w:t>
      </w:r>
      <w:r w:rsidR="009625EB">
        <w:rPr>
          <w:bCs/>
          <w:iCs/>
          <w:sz w:val="20"/>
          <w:szCs w:val="20"/>
        </w:rPr>
        <w:t>,</w:t>
      </w:r>
      <w:r w:rsidR="001B6C1A" w:rsidRPr="00B87521">
        <w:rPr>
          <w:bCs/>
          <w:iCs/>
          <w:sz w:val="20"/>
          <w:szCs w:val="20"/>
        </w:rPr>
        <w:t xml:space="preserve"> as measured by increase or decrease in GPA.</w:t>
      </w:r>
      <w:r w:rsidR="009B2155" w:rsidRPr="00B87521">
        <w:rPr>
          <w:bCs/>
          <w:iCs/>
          <w:sz w:val="20"/>
          <w:szCs w:val="20"/>
        </w:rPr>
        <w:t xml:space="preserve"> </w:t>
      </w:r>
      <w:r>
        <w:rPr>
          <w:bCs/>
          <w:iCs/>
          <w:sz w:val="20"/>
          <w:szCs w:val="20"/>
        </w:rPr>
        <w:t xml:space="preserve">Summary: </w:t>
      </w:r>
      <w:r w:rsidR="00DF0F39" w:rsidRPr="00B87521">
        <w:rPr>
          <w:bCs/>
          <w:iCs/>
          <w:sz w:val="20"/>
          <w:szCs w:val="20"/>
        </w:rPr>
        <w:t>Atte</w:t>
      </w:r>
      <w:r w:rsidR="00280F2D" w:rsidRPr="00B87521">
        <w:rPr>
          <w:bCs/>
          <w:iCs/>
          <w:sz w:val="20"/>
          <w:szCs w:val="20"/>
        </w:rPr>
        <w:t>nding the pre-semester Academic Success</w:t>
      </w:r>
      <w:r w:rsidR="00DF0F39" w:rsidRPr="00B87521">
        <w:rPr>
          <w:bCs/>
          <w:iCs/>
          <w:sz w:val="20"/>
          <w:szCs w:val="20"/>
        </w:rPr>
        <w:t xml:space="preserve"> session combined with successful completion of an academic interventi</w:t>
      </w:r>
      <w:r w:rsidR="009B2155" w:rsidRPr="00B87521">
        <w:rPr>
          <w:bCs/>
          <w:iCs/>
          <w:sz w:val="20"/>
          <w:szCs w:val="20"/>
        </w:rPr>
        <w:t>on is most likely to produce a</w:t>
      </w:r>
      <w:r w:rsidR="00DF0F39" w:rsidRPr="00B87521">
        <w:rPr>
          <w:bCs/>
          <w:iCs/>
          <w:sz w:val="20"/>
          <w:szCs w:val="20"/>
        </w:rPr>
        <w:t xml:space="preserve"> GPA increase than either independently.  </w:t>
      </w:r>
      <w:r w:rsidR="001B6C1A" w:rsidRPr="00B87521">
        <w:rPr>
          <w:bCs/>
          <w:iCs/>
          <w:sz w:val="20"/>
          <w:szCs w:val="20"/>
        </w:rPr>
        <w:t xml:space="preserve">GPA Variation is based on starting </w:t>
      </w:r>
      <w:r w:rsidR="00AC2076" w:rsidRPr="00B87521">
        <w:rPr>
          <w:bCs/>
          <w:iCs/>
          <w:sz w:val="20"/>
          <w:szCs w:val="20"/>
        </w:rPr>
        <w:t>Cumulative GP</w:t>
      </w:r>
      <w:r w:rsidR="001B6C1A" w:rsidRPr="00B87521">
        <w:rPr>
          <w:bCs/>
          <w:iCs/>
          <w:sz w:val="20"/>
          <w:szCs w:val="20"/>
        </w:rPr>
        <w:t>A following Fall 2014 Semester c</w:t>
      </w:r>
      <w:r w:rsidR="00AC2076" w:rsidRPr="00B87521">
        <w:rPr>
          <w:bCs/>
          <w:iCs/>
          <w:sz w:val="20"/>
          <w:szCs w:val="20"/>
        </w:rPr>
        <w:t>ompa</w:t>
      </w:r>
      <w:r w:rsidR="001B6C1A" w:rsidRPr="00B87521">
        <w:rPr>
          <w:bCs/>
          <w:iCs/>
          <w:sz w:val="20"/>
          <w:szCs w:val="20"/>
        </w:rPr>
        <w:t>red to Spring 2015 Semester GPA</w:t>
      </w:r>
      <w:r w:rsidR="00AC2076" w:rsidRPr="00B87521">
        <w:rPr>
          <w:bCs/>
          <w:iCs/>
          <w:sz w:val="20"/>
          <w:szCs w:val="20"/>
        </w:rPr>
        <w:t xml:space="preserve"> for First-time Probationary Students (N=644)</w:t>
      </w:r>
      <w:r w:rsidR="00A52062">
        <w:rPr>
          <w:bCs/>
          <w:iCs/>
          <w:sz w:val="20"/>
          <w:szCs w:val="20"/>
        </w:rPr>
        <w:t xml:space="preserve">. </w:t>
      </w:r>
      <w:r w:rsidR="00280F2D" w:rsidRPr="00B87521">
        <w:rPr>
          <w:bCs/>
          <w:iCs/>
          <w:sz w:val="20"/>
          <w:szCs w:val="20"/>
        </w:rPr>
        <w:t xml:space="preserve"> Total participation in probationary sessions was 41% (N=261). </w:t>
      </w:r>
    </w:p>
    <w:p w:rsidR="00962F63" w:rsidRDefault="00962F63" w:rsidP="00962F63">
      <w:pPr>
        <w:spacing w:before="100" w:beforeAutospacing="1" w:after="100" w:afterAutospacing="1" w:line="240" w:lineRule="auto"/>
        <w:rPr>
          <w:bCs/>
          <w:iCs/>
          <w:sz w:val="20"/>
          <w:szCs w:val="20"/>
        </w:rPr>
      </w:pPr>
      <w:r>
        <w:rPr>
          <w:noProof/>
        </w:rPr>
        <w:drawing>
          <wp:inline distT="0" distB="0" distL="0" distR="0" wp14:anchorId="5A6E3163" wp14:editId="50698C17">
            <wp:extent cx="6456680" cy="2585720"/>
            <wp:effectExtent l="0" t="0" r="127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GridTable4-Accent11"/>
        <w:tblW w:w="0" w:type="auto"/>
        <w:tblLook w:val="04A0" w:firstRow="1" w:lastRow="0" w:firstColumn="1" w:lastColumn="0" w:noHBand="0" w:noVBand="1"/>
      </w:tblPr>
      <w:tblGrid>
        <w:gridCol w:w="1475"/>
        <w:gridCol w:w="1470"/>
        <w:gridCol w:w="1470"/>
        <w:gridCol w:w="7"/>
        <w:gridCol w:w="1463"/>
        <w:gridCol w:w="1470"/>
        <w:gridCol w:w="1470"/>
        <w:gridCol w:w="1471"/>
      </w:tblGrid>
      <w:tr w:rsidR="00962F63" w:rsidRPr="00962F63" w:rsidTr="00B54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8"/>
          </w:tcPr>
          <w:p w:rsidR="00962F63" w:rsidRPr="00962F63" w:rsidRDefault="00962F63" w:rsidP="00962F63">
            <w:pPr>
              <w:jc w:val="center"/>
              <w:rPr>
                <w:rFonts w:cs="Calibri"/>
                <w:b w:val="0"/>
                <w:sz w:val="20"/>
                <w:szCs w:val="20"/>
              </w:rPr>
            </w:pPr>
            <w:r w:rsidRPr="00962F63">
              <w:rPr>
                <w:rFonts w:cs="Calibri"/>
                <w:b w:val="0"/>
                <w:sz w:val="20"/>
                <w:szCs w:val="20"/>
              </w:rPr>
              <w:t>ALL INTERVENTIONS</w:t>
            </w:r>
          </w:p>
        </w:tc>
      </w:tr>
      <w:tr w:rsidR="00962F63" w:rsidRPr="00962F63"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962F63" w:rsidRPr="00962F63" w:rsidRDefault="00962F63" w:rsidP="00962F63">
            <w:pPr>
              <w:rPr>
                <w:rFonts w:ascii="Calibri" w:eastAsia="Calibri" w:hAnsi="Calibri" w:cs="Calibri"/>
                <w:color w:val="FFFFFF" w:themeColor="background1"/>
              </w:rPr>
            </w:pPr>
          </w:p>
        </w:tc>
        <w:tc>
          <w:tcPr>
            <w:tcW w:w="2947" w:type="dxa"/>
            <w:gridSpan w:val="3"/>
            <w:shd w:val="clear" w:color="auto" w:fill="17365D" w:themeFill="text2" w:themeFillShade="BF"/>
          </w:tcPr>
          <w:p w:rsidR="00962F63" w:rsidRPr="00962F63" w:rsidRDefault="00962F63" w:rsidP="00962F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Attended Session &amp;</w:t>
            </w:r>
          </w:p>
          <w:p w:rsidR="00962F63" w:rsidRPr="00962F63" w:rsidRDefault="00962F63" w:rsidP="00962F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Enrolled in an Intervention</w:t>
            </w:r>
          </w:p>
        </w:tc>
        <w:tc>
          <w:tcPr>
            <w:tcW w:w="2933" w:type="dxa"/>
            <w:gridSpan w:val="2"/>
            <w:shd w:val="clear" w:color="auto" w:fill="17365D" w:themeFill="text2" w:themeFillShade="BF"/>
          </w:tcPr>
          <w:p w:rsidR="00962F63" w:rsidRPr="00962F63" w:rsidRDefault="00962F63" w:rsidP="00962F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Enrolled Intervention – Only</w:t>
            </w:r>
          </w:p>
          <w:p w:rsidR="00962F63" w:rsidRPr="00962F63" w:rsidRDefault="00962F63" w:rsidP="00962F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p>
        </w:tc>
        <w:tc>
          <w:tcPr>
            <w:tcW w:w="1470" w:type="dxa"/>
            <w:vMerge w:val="restart"/>
            <w:shd w:val="clear" w:color="auto" w:fill="17365D" w:themeFill="text2" w:themeFillShade="BF"/>
          </w:tcPr>
          <w:p w:rsidR="00962F63" w:rsidRPr="00962F63" w:rsidRDefault="00962F63" w:rsidP="00962F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Attended Session – Only</w:t>
            </w:r>
          </w:p>
        </w:tc>
        <w:tc>
          <w:tcPr>
            <w:tcW w:w="1471" w:type="dxa"/>
            <w:vMerge w:val="restart"/>
            <w:shd w:val="clear" w:color="auto" w:fill="17365D" w:themeFill="text2" w:themeFillShade="BF"/>
          </w:tcPr>
          <w:p w:rsidR="00962F63" w:rsidRPr="00962F63" w:rsidRDefault="00962F63" w:rsidP="00962F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Participated in Neither</w:t>
            </w:r>
          </w:p>
        </w:tc>
      </w:tr>
      <w:tr w:rsidR="00962F63" w:rsidRPr="00962F63" w:rsidTr="00B54D91">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962F63" w:rsidRPr="00962F63" w:rsidRDefault="00962F63" w:rsidP="00962F63">
            <w:pPr>
              <w:rPr>
                <w:rFonts w:ascii="Calibri" w:eastAsia="Calibri" w:hAnsi="Calibri" w:cs="Calibri"/>
                <w:color w:val="FFFFFF" w:themeColor="background1"/>
              </w:rPr>
            </w:pPr>
            <w:r w:rsidRPr="00962F63">
              <w:rPr>
                <w:rFonts w:ascii="Calibri" w:eastAsia="Calibri" w:hAnsi="Calibri" w:cs="Calibri"/>
                <w:color w:val="FFFFFF" w:themeColor="background1"/>
              </w:rPr>
              <w:t>GPA Change</w:t>
            </w:r>
          </w:p>
        </w:tc>
        <w:tc>
          <w:tcPr>
            <w:tcW w:w="1470" w:type="dxa"/>
            <w:shd w:val="clear" w:color="auto" w:fill="17365D" w:themeFill="text2" w:themeFillShade="BF"/>
          </w:tcPr>
          <w:p w:rsidR="00962F63" w:rsidRPr="00962F63" w:rsidRDefault="00962F63" w:rsidP="00962F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Passed</w:t>
            </w:r>
          </w:p>
          <w:p w:rsidR="00962F63" w:rsidRPr="00962F63" w:rsidRDefault="00962F63" w:rsidP="00962F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Intervention</w:t>
            </w:r>
          </w:p>
        </w:tc>
        <w:tc>
          <w:tcPr>
            <w:tcW w:w="1470" w:type="dxa"/>
            <w:shd w:val="clear" w:color="auto" w:fill="17365D" w:themeFill="text2" w:themeFillShade="BF"/>
          </w:tcPr>
          <w:p w:rsidR="00962F63" w:rsidRPr="00962F63" w:rsidRDefault="00962F63" w:rsidP="00962F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Failed Intervention</w:t>
            </w:r>
          </w:p>
        </w:tc>
        <w:tc>
          <w:tcPr>
            <w:tcW w:w="1470" w:type="dxa"/>
            <w:gridSpan w:val="2"/>
            <w:shd w:val="clear" w:color="auto" w:fill="17365D" w:themeFill="text2" w:themeFillShade="BF"/>
          </w:tcPr>
          <w:p w:rsidR="00962F63" w:rsidRPr="00962F63" w:rsidRDefault="00962F63" w:rsidP="00962F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Passed</w:t>
            </w:r>
          </w:p>
          <w:p w:rsidR="00962F63" w:rsidRPr="00962F63" w:rsidRDefault="00962F63" w:rsidP="00962F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Intervention</w:t>
            </w:r>
          </w:p>
        </w:tc>
        <w:tc>
          <w:tcPr>
            <w:tcW w:w="1470" w:type="dxa"/>
            <w:shd w:val="clear" w:color="auto" w:fill="17365D" w:themeFill="text2" w:themeFillShade="BF"/>
          </w:tcPr>
          <w:p w:rsidR="00962F63" w:rsidRPr="00962F63" w:rsidRDefault="00962F63" w:rsidP="00962F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Failed</w:t>
            </w:r>
          </w:p>
          <w:p w:rsidR="00962F63" w:rsidRPr="00962F63" w:rsidRDefault="00962F63" w:rsidP="00962F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962F63">
              <w:rPr>
                <w:rFonts w:ascii="Calibri" w:eastAsia="Calibri" w:hAnsi="Calibri" w:cs="Calibri"/>
                <w:color w:val="FFFFFF" w:themeColor="background1"/>
                <w:sz w:val="18"/>
              </w:rPr>
              <w:t>Intervention</w:t>
            </w:r>
          </w:p>
        </w:tc>
        <w:tc>
          <w:tcPr>
            <w:tcW w:w="1470" w:type="dxa"/>
            <w:vMerge/>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c>
          <w:tcPr>
            <w:tcW w:w="1471" w:type="dxa"/>
            <w:vMerge/>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r>
      <w:tr w:rsidR="00962F63" w:rsidRPr="00962F63"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962F63" w:rsidRPr="00962F63" w:rsidRDefault="00962F63" w:rsidP="00962F63">
            <w:pPr>
              <w:rPr>
                <w:rFonts w:ascii="Calibri" w:eastAsia="Calibri" w:hAnsi="Calibri" w:cs="Calibri"/>
                <w:sz w:val="18"/>
                <w:szCs w:val="18"/>
              </w:rPr>
            </w:pPr>
            <w:r w:rsidRPr="00962F63">
              <w:rPr>
                <w:rFonts w:ascii="Calibri" w:eastAsia="Calibri" w:hAnsi="Calibri" w:cs="Calibri"/>
                <w:sz w:val="18"/>
                <w:szCs w:val="18"/>
              </w:rPr>
              <w:t>Increase</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75%</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55%</w:t>
            </w:r>
          </w:p>
        </w:tc>
        <w:tc>
          <w:tcPr>
            <w:tcW w:w="1470" w:type="dxa"/>
            <w:gridSpan w:val="2"/>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66%</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44%</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34%</w:t>
            </w:r>
          </w:p>
        </w:tc>
        <w:tc>
          <w:tcPr>
            <w:tcW w:w="1471"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21%</w:t>
            </w:r>
          </w:p>
        </w:tc>
      </w:tr>
      <w:tr w:rsidR="00962F63" w:rsidRPr="00962F63" w:rsidTr="00B54D91">
        <w:tc>
          <w:tcPr>
            <w:cnfStyle w:val="001000000000" w:firstRow="0" w:lastRow="0" w:firstColumn="1" w:lastColumn="0" w:oddVBand="0" w:evenVBand="0" w:oddHBand="0" w:evenHBand="0" w:firstRowFirstColumn="0" w:firstRowLastColumn="0" w:lastRowFirstColumn="0" w:lastRowLastColumn="0"/>
            <w:tcW w:w="1475" w:type="dxa"/>
          </w:tcPr>
          <w:p w:rsidR="00962F63" w:rsidRPr="00962F63" w:rsidRDefault="00962F63" w:rsidP="00962F63">
            <w:pPr>
              <w:rPr>
                <w:rFonts w:ascii="Calibri" w:eastAsia="Calibri" w:hAnsi="Calibri" w:cs="Calibri"/>
                <w:sz w:val="18"/>
                <w:szCs w:val="18"/>
              </w:rPr>
            </w:pPr>
            <w:r w:rsidRPr="00962F63">
              <w:rPr>
                <w:rFonts w:ascii="Calibri" w:eastAsia="Calibri" w:hAnsi="Calibri" w:cs="Calibri"/>
                <w:sz w:val="18"/>
                <w:szCs w:val="18"/>
              </w:rPr>
              <w:t>Decrease</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25%</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45%</w:t>
            </w:r>
          </w:p>
        </w:tc>
        <w:tc>
          <w:tcPr>
            <w:tcW w:w="1470" w:type="dxa"/>
            <w:gridSpan w:val="2"/>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33%</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50%</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56%</w:t>
            </w:r>
          </w:p>
        </w:tc>
        <w:tc>
          <w:tcPr>
            <w:tcW w:w="1471"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64%</w:t>
            </w:r>
          </w:p>
        </w:tc>
      </w:tr>
      <w:tr w:rsidR="00962F63" w:rsidRPr="00962F63"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962F63" w:rsidRPr="00962F63" w:rsidRDefault="00962F63" w:rsidP="00962F63">
            <w:pPr>
              <w:rPr>
                <w:rFonts w:ascii="Calibri" w:eastAsia="Calibri" w:hAnsi="Calibri" w:cs="Calibri"/>
                <w:sz w:val="18"/>
                <w:szCs w:val="18"/>
              </w:rPr>
            </w:pPr>
            <w:r w:rsidRPr="00962F63">
              <w:rPr>
                <w:rFonts w:ascii="Calibri" w:eastAsia="Calibri" w:hAnsi="Calibri" w:cs="Calibri"/>
                <w:sz w:val="18"/>
                <w:szCs w:val="18"/>
              </w:rPr>
              <w:t>No Change</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0</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0</w:t>
            </w:r>
          </w:p>
        </w:tc>
        <w:tc>
          <w:tcPr>
            <w:tcW w:w="1470" w:type="dxa"/>
            <w:gridSpan w:val="2"/>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1%</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6%</w:t>
            </w:r>
          </w:p>
        </w:tc>
        <w:tc>
          <w:tcPr>
            <w:tcW w:w="1470"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9%</w:t>
            </w:r>
          </w:p>
        </w:tc>
        <w:tc>
          <w:tcPr>
            <w:tcW w:w="1471" w:type="dxa"/>
          </w:tcPr>
          <w:p w:rsidR="00962F63" w:rsidRPr="00962F63" w:rsidRDefault="00962F63" w:rsidP="00962F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15%</w:t>
            </w:r>
          </w:p>
        </w:tc>
      </w:tr>
      <w:tr w:rsidR="00962F63" w:rsidRPr="00962F63" w:rsidTr="00B54D91">
        <w:tc>
          <w:tcPr>
            <w:cnfStyle w:val="001000000000" w:firstRow="0" w:lastRow="0" w:firstColumn="1" w:lastColumn="0" w:oddVBand="0" w:evenVBand="0" w:oddHBand="0" w:evenHBand="0" w:firstRowFirstColumn="0" w:firstRowLastColumn="0" w:lastRowFirstColumn="0" w:lastRowLastColumn="0"/>
            <w:tcW w:w="1475" w:type="dxa"/>
          </w:tcPr>
          <w:p w:rsidR="00962F63" w:rsidRPr="00962F63" w:rsidRDefault="00962F63" w:rsidP="00962F63">
            <w:pPr>
              <w:rPr>
                <w:rFonts w:ascii="Calibri" w:eastAsia="Calibri" w:hAnsi="Calibri" w:cs="Calibri"/>
                <w:sz w:val="18"/>
                <w:szCs w:val="18"/>
              </w:rPr>
            </w:pPr>
            <w:r w:rsidRPr="00962F63">
              <w:rPr>
                <w:rFonts w:ascii="Calibri" w:eastAsia="Calibri" w:hAnsi="Calibri" w:cs="Calibri"/>
                <w:sz w:val="18"/>
                <w:szCs w:val="18"/>
              </w:rPr>
              <w:t>Total students</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180</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44</w:t>
            </w:r>
          </w:p>
        </w:tc>
        <w:tc>
          <w:tcPr>
            <w:tcW w:w="1470" w:type="dxa"/>
            <w:gridSpan w:val="2"/>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100</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18</w:t>
            </w:r>
          </w:p>
        </w:tc>
        <w:tc>
          <w:tcPr>
            <w:tcW w:w="1470"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32</w:t>
            </w:r>
          </w:p>
        </w:tc>
        <w:tc>
          <w:tcPr>
            <w:tcW w:w="1471" w:type="dxa"/>
          </w:tcPr>
          <w:p w:rsidR="00962F63" w:rsidRPr="00962F63" w:rsidRDefault="00962F63" w:rsidP="00962F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962F63">
              <w:rPr>
                <w:rFonts w:ascii="Calibri" w:eastAsia="Calibri" w:hAnsi="Calibri" w:cs="Calibri"/>
                <w:sz w:val="18"/>
                <w:szCs w:val="18"/>
              </w:rPr>
              <w:t>265</w:t>
            </w:r>
          </w:p>
        </w:tc>
      </w:tr>
    </w:tbl>
    <w:p w:rsidR="009B2155" w:rsidRPr="00962F63" w:rsidRDefault="00962F63" w:rsidP="00962F63">
      <w:pPr>
        <w:spacing w:after="0" w:line="240" w:lineRule="auto"/>
        <w:contextualSpacing/>
        <w:rPr>
          <w:bCs/>
          <w:i/>
          <w:iCs/>
          <w:sz w:val="16"/>
          <w:szCs w:val="20"/>
        </w:rPr>
      </w:pPr>
      <w:r w:rsidRPr="00962F63">
        <w:rPr>
          <w:bCs/>
          <w:i/>
          <w:iCs/>
          <w:sz w:val="16"/>
          <w:szCs w:val="20"/>
        </w:rPr>
        <w:t>Withdrawals (N=5) not reflected in table</w:t>
      </w:r>
      <w:r w:rsidR="009B2155">
        <w:rPr>
          <w:bCs/>
          <w:i/>
          <w:iCs/>
          <w:sz w:val="16"/>
          <w:szCs w:val="20"/>
        </w:rPr>
        <w:br w:type="page"/>
      </w:r>
    </w:p>
    <w:p w:rsidR="00DF0F39" w:rsidRPr="00897A1D" w:rsidRDefault="00DF0F39" w:rsidP="00DF0F39">
      <w:pPr>
        <w:pStyle w:val="ListParagraph"/>
        <w:spacing w:after="0" w:line="240" w:lineRule="auto"/>
        <w:ind w:left="0"/>
        <w:rPr>
          <w:bCs/>
          <w:i/>
          <w:iCs/>
          <w:sz w:val="16"/>
          <w:szCs w:val="20"/>
        </w:rPr>
      </w:pPr>
    </w:p>
    <w:p w:rsidR="00DF0F39" w:rsidRDefault="00157900" w:rsidP="001B6C1A">
      <w:pPr>
        <w:spacing w:after="0" w:line="240" w:lineRule="auto"/>
        <w:jc w:val="center"/>
        <w:rPr>
          <w:b/>
          <w:bCs/>
          <w:i/>
          <w:iCs/>
          <w:sz w:val="20"/>
          <w:szCs w:val="20"/>
        </w:rPr>
      </w:pPr>
      <w:r>
        <w:rPr>
          <w:b/>
          <w:bCs/>
          <w:i/>
          <w:iCs/>
          <w:sz w:val="20"/>
          <w:szCs w:val="20"/>
        </w:rPr>
        <w:t xml:space="preserve">(2) </w:t>
      </w:r>
      <w:r w:rsidR="00B87521">
        <w:rPr>
          <w:b/>
          <w:bCs/>
          <w:i/>
          <w:iCs/>
          <w:sz w:val="20"/>
          <w:szCs w:val="20"/>
        </w:rPr>
        <w:t xml:space="preserve">Comparison of change in GPA by type of </w:t>
      </w:r>
      <w:r w:rsidR="001B6C1A" w:rsidRPr="00F77F80">
        <w:rPr>
          <w:b/>
          <w:bCs/>
          <w:i/>
          <w:iCs/>
          <w:sz w:val="20"/>
          <w:szCs w:val="20"/>
        </w:rPr>
        <w:t>Intervention</w:t>
      </w:r>
      <w:r w:rsidR="00B87521">
        <w:rPr>
          <w:b/>
          <w:bCs/>
          <w:i/>
          <w:iCs/>
          <w:sz w:val="20"/>
          <w:szCs w:val="20"/>
        </w:rPr>
        <w:t xml:space="preserve"> participation in Spring 2015</w:t>
      </w:r>
      <w:r w:rsidR="001B6C1A" w:rsidRPr="00F77F80">
        <w:rPr>
          <w:b/>
          <w:bCs/>
          <w:i/>
          <w:iCs/>
          <w:sz w:val="20"/>
          <w:szCs w:val="20"/>
        </w:rPr>
        <w:t>:</w:t>
      </w:r>
    </w:p>
    <w:p w:rsidR="00A7752E" w:rsidRDefault="00A7752E" w:rsidP="001B6C1A">
      <w:pPr>
        <w:spacing w:after="0" w:line="240" w:lineRule="auto"/>
        <w:jc w:val="center"/>
        <w:rPr>
          <w:b/>
          <w:bCs/>
          <w:i/>
          <w:iCs/>
          <w:sz w:val="20"/>
          <w:szCs w:val="20"/>
        </w:rPr>
      </w:pPr>
    </w:p>
    <w:p w:rsidR="00925CFA" w:rsidRDefault="00925CFA" w:rsidP="00925CFA">
      <w:pPr>
        <w:spacing w:after="0" w:line="240" w:lineRule="auto"/>
        <w:rPr>
          <w:bCs/>
          <w:iCs/>
        </w:rPr>
      </w:pPr>
      <w:r>
        <w:rPr>
          <w:bCs/>
          <w:iCs/>
        </w:rPr>
        <w:t xml:space="preserve">Students who successfully complete a TLC academic intervention and attended the pre-semester success session are the most likely to increase their grade point average regardless of which intervention they enroll. Students who do not participate in anything are significantly less likely to increase their grade point average.  Even participation in the single pre-semester success session improved their chances of raising their grade point average. </w:t>
      </w:r>
    </w:p>
    <w:p w:rsidR="00925CFA" w:rsidRPr="00925CFA" w:rsidRDefault="00925CFA" w:rsidP="00925CFA">
      <w:pPr>
        <w:spacing w:after="0" w:line="240" w:lineRule="auto"/>
        <w:rPr>
          <w:bCs/>
          <w:iCs/>
        </w:rPr>
      </w:pPr>
    </w:p>
    <w:tbl>
      <w:tblPr>
        <w:tblStyle w:val="GridTable4-Accent11"/>
        <w:tblW w:w="0" w:type="auto"/>
        <w:tblLook w:val="04A0" w:firstRow="1" w:lastRow="0" w:firstColumn="1" w:lastColumn="0" w:noHBand="0" w:noVBand="1"/>
      </w:tblPr>
      <w:tblGrid>
        <w:gridCol w:w="1475"/>
        <w:gridCol w:w="1470"/>
        <w:gridCol w:w="1470"/>
        <w:gridCol w:w="7"/>
        <w:gridCol w:w="1463"/>
        <w:gridCol w:w="1470"/>
        <w:gridCol w:w="1470"/>
        <w:gridCol w:w="1471"/>
      </w:tblGrid>
      <w:tr w:rsidR="00A70235" w:rsidRPr="00A70235" w:rsidTr="00B54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8"/>
          </w:tcPr>
          <w:p w:rsidR="00A70235" w:rsidRPr="00A70235" w:rsidRDefault="00A70235" w:rsidP="00A70235">
            <w:pPr>
              <w:jc w:val="center"/>
              <w:rPr>
                <w:rFonts w:cs="Calibri"/>
                <w:b w:val="0"/>
                <w:sz w:val="20"/>
                <w:szCs w:val="20"/>
              </w:rPr>
            </w:pPr>
            <w:r w:rsidRPr="00A70235">
              <w:rPr>
                <w:rFonts w:cs="Calibri"/>
                <w:b w:val="0"/>
                <w:sz w:val="20"/>
                <w:szCs w:val="20"/>
              </w:rPr>
              <w:t>TLC 001 Academic Coaching</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p>
        </w:tc>
        <w:tc>
          <w:tcPr>
            <w:tcW w:w="2947" w:type="dxa"/>
            <w:gridSpan w:val="3"/>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&amp;</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 an Intervention</w:t>
            </w:r>
          </w:p>
        </w:tc>
        <w:tc>
          <w:tcPr>
            <w:tcW w:w="2933" w:type="dxa"/>
            <w:gridSpan w:val="2"/>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Intervention – Only</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p>
        </w:tc>
        <w:tc>
          <w:tcPr>
            <w:tcW w:w="1470"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 Only</w:t>
            </w:r>
          </w:p>
        </w:tc>
        <w:tc>
          <w:tcPr>
            <w:tcW w:w="1471"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Participated in Neither</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r w:rsidRPr="00A70235">
              <w:rPr>
                <w:rFonts w:ascii="Calibri" w:eastAsia="Calibri" w:hAnsi="Calibri" w:cs="Calibri"/>
                <w:color w:val="FFFFFF" w:themeColor="background1"/>
              </w:rPr>
              <w:t>GPA Change</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 Intervention</w:t>
            </w:r>
          </w:p>
        </w:tc>
        <w:tc>
          <w:tcPr>
            <w:tcW w:w="1470" w:type="dxa"/>
            <w:gridSpan w:val="2"/>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c>
          <w:tcPr>
            <w:tcW w:w="1471"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Increase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77%</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57%</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65%</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34%</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21%</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Decrease</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23%</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43%</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33%</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56%</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64%</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No Change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9%</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15%</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Total students</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95</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21</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69</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10</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32</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265</w:t>
            </w:r>
          </w:p>
        </w:tc>
      </w:tr>
    </w:tbl>
    <w:p w:rsidR="00A70235" w:rsidRPr="00A70235" w:rsidRDefault="00A70235" w:rsidP="00A70235">
      <w:pPr>
        <w:spacing w:after="0" w:line="240" w:lineRule="auto"/>
        <w:contextualSpacing/>
        <w:rPr>
          <w:bCs/>
          <w:i/>
          <w:iCs/>
          <w:sz w:val="16"/>
          <w:szCs w:val="20"/>
        </w:rPr>
      </w:pPr>
      <w:r w:rsidRPr="00A70235">
        <w:rPr>
          <w:bCs/>
          <w:i/>
          <w:iCs/>
          <w:sz w:val="16"/>
          <w:szCs w:val="20"/>
        </w:rPr>
        <w:t>Withdrawals (N=2) not reflected in table</w:t>
      </w:r>
    </w:p>
    <w:p w:rsidR="00A70235" w:rsidRPr="00A70235" w:rsidRDefault="00A70235" w:rsidP="00A70235">
      <w:pPr>
        <w:spacing w:after="0" w:line="240" w:lineRule="auto"/>
        <w:contextualSpacing/>
        <w:rPr>
          <w:bCs/>
          <w:i/>
          <w:iCs/>
          <w:sz w:val="4"/>
          <w:szCs w:val="4"/>
        </w:rPr>
      </w:pPr>
    </w:p>
    <w:tbl>
      <w:tblPr>
        <w:tblStyle w:val="GridTable4-Accent11"/>
        <w:tblW w:w="0" w:type="auto"/>
        <w:tblLook w:val="04A0" w:firstRow="1" w:lastRow="0" w:firstColumn="1" w:lastColumn="0" w:noHBand="0" w:noVBand="1"/>
      </w:tblPr>
      <w:tblGrid>
        <w:gridCol w:w="1475"/>
        <w:gridCol w:w="1470"/>
        <w:gridCol w:w="1470"/>
        <w:gridCol w:w="7"/>
        <w:gridCol w:w="1463"/>
        <w:gridCol w:w="1470"/>
        <w:gridCol w:w="1470"/>
        <w:gridCol w:w="1471"/>
      </w:tblGrid>
      <w:tr w:rsidR="00A70235" w:rsidRPr="00A70235" w:rsidTr="00B54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8"/>
          </w:tcPr>
          <w:p w:rsidR="00A70235" w:rsidRPr="00A70235" w:rsidRDefault="00A70235" w:rsidP="00A70235">
            <w:pPr>
              <w:jc w:val="center"/>
              <w:rPr>
                <w:rFonts w:cs="Calibri"/>
                <w:b w:val="0"/>
                <w:sz w:val="20"/>
                <w:szCs w:val="20"/>
              </w:rPr>
            </w:pPr>
            <w:r w:rsidRPr="00A70235">
              <w:rPr>
                <w:rFonts w:cs="Calibri"/>
                <w:b w:val="0"/>
                <w:sz w:val="20"/>
                <w:szCs w:val="20"/>
              </w:rPr>
              <w:t>TLC 004 Making the Dean’s List</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p>
        </w:tc>
        <w:tc>
          <w:tcPr>
            <w:tcW w:w="2947" w:type="dxa"/>
            <w:gridSpan w:val="3"/>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&amp;</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 an Intervention</w:t>
            </w:r>
          </w:p>
        </w:tc>
        <w:tc>
          <w:tcPr>
            <w:tcW w:w="2933" w:type="dxa"/>
            <w:gridSpan w:val="2"/>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Intervention – Only</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p>
        </w:tc>
        <w:tc>
          <w:tcPr>
            <w:tcW w:w="1470"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 Only</w:t>
            </w:r>
          </w:p>
        </w:tc>
        <w:tc>
          <w:tcPr>
            <w:tcW w:w="1471"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Participated in Neither</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r w:rsidRPr="00A70235">
              <w:rPr>
                <w:rFonts w:ascii="Calibri" w:eastAsia="Calibri" w:hAnsi="Calibri" w:cs="Calibri"/>
                <w:color w:val="FFFFFF" w:themeColor="background1"/>
              </w:rPr>
              <w:t>GPA Change</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 Intervention</w:t>
            </w:r>
          </w:p>
        </w:tc>
        <w:tc>
          <w:tcPr>
            <w:tcW w:w="1470" w:type="dxa"/>
            <w:gridSpan w:val="2"/>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c>
          <w:tcPr>
            <w:tcW w:w="1471" w:type="dxa"/>
            <w:vMerge/>
            <w:shd w:val="clear" w:color="auto" w:fill="17365D" w:themeFill="text2" w:themeFillShade="BF"/>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Increase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74%</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55%</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34%</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21%</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Decrease</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26%</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45%</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100%</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56%</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64%</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No Change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9%</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15%</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Total students</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42</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11</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32</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265</w:t>
            </w:r>
          </w:p>
        </w:tc>
      </w:tr>
    </w:tbl>
    <w:p w:rsidR="00A70235" w:rsidRPr="00A70235" w:rsidRDefault="00A70235" w:rsidP="00A70235">
      <w:pPr>
        <w:spacing w:after="0" w:line="240" w:lineRule="auto"/>
        <w:contextualSpacing/>
        <w:rPr>
          <w:bCs/>
          <w:i/>
          <w:iCs/>
          <w:sz w:val="16"/>
          <w:szCs w:val="20"/>
        </w:rPr>
      </w:pPr>
      <w:r w:rsidRPr="00A70235">
        <w:rPr>
          <w:bCs/>
          <w:i/>
          <w:iCs/>
          <w:sz w:val="16"/>
          <w:szCs w:val="20"/>
        </w:rPr>
        <w:t>Withdrawals (N=0)</w:t>
      </w:r>
    </w:p>
    <w:p w:rsidR="00A70235" w:rsidRPr="00A70235" w:rsidRDefault="00A70235" w:rsidP="00A70235">
      <w:pPr>
        <w:spacing w:after="0" w:line="240" w:lineRule="auto"/>
        <w:contextualSpacing/>
        <w:rPr>
          <w:bCs/>
          <w:i/>
          <w:iCs/>
          <w:sz w:val="4"/>
          <w:szCs w:val="4"/>
        </w:rPr>
      </w:pPr>
    </w:p>
    <w:tbl>
      <w:tblPr>
        <w:tblStyle w:val="GridTable4-Accent11"/>
        <w:tblW w:w="0" w:type="auto"/>
        <w:tblLook w:val="04A0" w:firstRow="1" w:lastRow="0" w:firstColumn="1" w:lastColumn="0" w:noHBand="0" w:noVBand="1"/>
      </w:tblPr>
      <w:tblGrid>
        <w:gridCol w:w="1475"/>
        <w:gridCol w:w="1470"/>
        <w:gridCol w:w="1470"/>
        <w:gridCol w:w="7"/>
        <w:gridCol w:w="1463"/>
        <w:gridCol w:w="1470"/>
        <w:gridCol w:w="1470"/>
        <w:gridCol w:w="1471"/>
      </w:tblGrid>
      <w:tr w:rsidR="00A70235" w:rsidRPr="00A70235" w:rsidTr="00B54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8"/>
          </w:tcPr>
          <w:p w:rsidR="00A70235" w:rsidRPr="00A70235" w:rsidRDefault="00A70235" w:rsidP="00A70235">
            <w:pPr>
              <w:jc w:val="center"/>
              <w:rPr>
                <w:rFonts w:cs="Calibri"/>
                <w:b w:val="0"/>
                <w:sz w:val="20"/>
                <w:szCs w:val="20"/>
              </w:rPr>
            </w:pPr>
            <w:r w:rsidRPr="00A70235">
              <w:rPr>
                <w:rFonts w:cs="Calibri"/>
                <w:b w:val="0"/>
                <w:sz w:val="20"/>
                <w:szCs w:val="20"/>
              </w:rPr>
              <w:t>TLC 005 Individual TLC Workshops</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p>
        </w:tc>
        <w:tc>
          <w:tcPr>
            <w:tcW w:w="2947" w:type="dxa"/>
            <w:gridSpan w:val="3"/>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&amp;</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 an Intervention</w:t>
            </w:r>
          </w:p>
        </w:tc>
        <w:tc>
          <w:tcPr>
            <w:tcW w:w="2933" w:type="dxa"/>
            <w:gridSpan w:val="2"/>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Intervention – Only</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p>
        </w:tc>
        <w:tc>
          <w:tcPr>
            <w:tcW w:w="1470"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 Only</w:t>
            </w:r>
          </w:p>
        </w:tc>
        <w:tc>
          <w:tcPr>
            <w:tcW w:w="1471"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Participated in Neither</w:t>
            </w:r>
          </w:p>
        </w:tc>
      </w:tr>
      <w:tr w:rsidR="00A70235" w:rsidRPr="00A70235" w:rsidTr="00B54D91">
        <w:trPr>
          <w:trHeight w:val="530"/>
        </w:trPr>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r w:rsidRPr="00A70235">
              <w:rPr>
                <w:rFonts w:ascii="Calibri" w:eastAsia="Calibri" w:hAnsi="Calibri" w:cs="Calibri"/>
                <w:color w:val="FFFFFF" w:themeColor="background1"/>
              </w:rPr>
              <w:t>GPA Change</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 Intervention</w:t>
            </w:r>
          </w:p>
        </w:tc>
        <w:tc>
          <w:tcPr>
            <w:tcW w:w="1470" w:type="dxa"/>
            <w:gridSpan w:val="2"/>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c>
          <w:tcPr>
            <w:tcW w:w="1471"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Increase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55%</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33%</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100%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34%</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21%</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Decrease</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45%</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67%</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56%</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64%</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No Change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9%</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15%</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Total students</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11</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32</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265</w:t>
            </w:r>
          </w:p>
        </w:tc>
      </w:tr>
    </w:tbl>
    <w:p w:rsidR="00A70235" w:rsidRPr="00A70235" w:rsidRDefault="00A70235" w:rsidP="00A70235">
      <w:pPr>
        <w:spacing w:after="0" w:line="240" w:lineRule="auto"/>
        <w:contextualSpacing/>
        <w:rPr>
          <w:bCs/>
          <w:i/>
          <w:iCs/>
          <w:sz w:val="16"/>
          <w:szCs w:val="20"/>
        </w:rPr>
      </w:pPr>
      <w:r w:rsidRPr="00A70235">
        <w:rPr>
          <w:bCs/>
          <w:i/>
          <w:iCs/>
          <w:sz w:val="16"/>
          <w:szCs w:val="20"/>
        </w:rPr>
        <w:t>Withdrawals (N=0)</w:t>
      </w:r>
    </w:p>
    <w:tbl>
      <w:tblPr>
        <w:tblStyle w:val="GridTable4-Accent11"/>
        <w:tblW w:w="0" w:type="auto"/>
        <w:tblLook w:val="04A0" w:firstRow="1" w:lastRow="0" w:firstColumn="1" w:lastColumn="0" w:noHBand="0" w:noVBand="1"/>
      </w:tblPr>
      <w:tblGrid>
        <w:gridCol w:w="1475"/>
        <w:gridCol w:w="1470"/>
        <w:gridCol w:w="1470"/>
        <w:gridCol w:w="7"/>
        <w:gridCol w:w="1463"/>
        <w:gridCol w:w="1470"/>
        <w:gridCol w:w="1470"/>
        <w:gridCol w:w="1471"/>
      </w:tblGrid>
      <w:tr w:rsidR="00A70235" w:rsidRPr="00A70235" w:rsidTr="00B54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8"/>
          </w:tcPr>
          <w:p w:rsidR="00A70235" w:rsidRPr="00A70235" w:rsidRDefault="00A70235" w:rsidP="00A70235">
            <w:pPr>
              <w:jc w:val="center"/>
              <w:rPr>
                <w:rFonts w:cs="Calibri"/>
                <w:b w:val="0"/>
                <w:sz w:val="20"/>
                <w:szCs w:val="20"/>
              </w:rPr>
            </w:pPr>
            <w:r w:rsidRPr="00A70235">
              <w:rPr>
                <w:b w:val="0"/>
                <w:bCs w:val="0"/>
                <w:i/>
                <w:iCs/>
                <w:color w:val="4F81BD" w:themeColor="accent1"/>
                <w:sz w:val="20"/>
                <w:szCs w:val="20"/>
              </w:rPr>
              <w:br w:type="page"/>
            </w:r>
            <w:r w:rsidRPr="00A70235">
              <w:rPr>
                <w:rFonts w:cs="Calibri"/>
                <w:b w:val="0"/>
                <w:sz w:val="20"/>
                <w:szCs w:val="20"/>
              </w:rPr>
              <w:t>TLC 006 A MINDSET FOR SUCCESS (ONLINE)</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p>
        </w:tc>
        <w:tc>
          <w:tcPr>
            <w:tcW w:w="2947" w:type="dxa"/>
            <w:gridSpan w:val="3"/>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&amp;</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 an Intervention</w:t>
            </w:r>
          </w:p>
        </w:tc>
        <w:tc>
          <w:tcPr>
            <w:tcW w:w="2933" w:type="dxa"/>
            <w:gridSpan w:val="2"/>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Intervention – Only</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p>
        </w:tc>
        <w:tc>
          <w:tcPr>
            <w:tcW w:w="1470"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 Only</w:t>
            </w:r>
          </w:p>
        </w:tc>
        <w:tc>
          <w:tcPr>
            <w:tcW w:w="1471"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Participated in Neither</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r w:rsidRPr="00A70235">
              <w:rPr>
                <w:rFonts w:ascii="Calibri" w:eastAsia="Calibri" w:hAnsi="Calibri" w:cs="Calibri"/>
                <w:color w:val="FFFFFF" w:themeColor="background1"/>
              </w:rPr>
              <w:t>GPA Change</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 Intervention</w:t>
            </w:r>
          </w:p>
        </w:tc>
        <w:tc>
          <w:tcPr>
            <w:tcW w:w="1470" w:type="dxa"/>
            <w:gridSpan w:val="2"/>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c>
          <w:tcPr>
            <w:tcW w:w="1471"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Increase</w:t>
            </w:r>
          </w:p>
        </w:tc>
        <w:tc>
          <w:tcPr>
            <w:tcW w:w="1470" w:type="dxa"/>
          </w:tcPr>
          <w:p w:rsidR="00A70235" w:rsidRPr="00A70235" w:rsidRDefault="00A70235" w:rsidP="00A70235">
            <w:pPr>
              <w:tabs>
                <w:tab w:val="left" w:pos="861"/>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71%</w:t>
            </w:r>
            <w:r w:rsidRPr="00A70235">
              <w:rPr>
                <w:rFonts w:ascii="Calibri" w:eastAsia="Calibri" w:hAnsi="Calibri" w:cs="Calibri"/>
                <w:sz w:val="18"/>
                <w:szCs w:val="18"/>
              </w:rPr>
              <w:tab/>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75%</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34%</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21%</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Decrease</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29%</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50%</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25%</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56%</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64%</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No Change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9%</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15%</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Total students</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17</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12</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32</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265</w:t>
            </w:r>
          </w:p>
        </w:tc>
      </w:tr>
    </w:tbl>
    <w:p w:rsidR="00A70235" w:rsidRPr="00A70235" w:rsidRDefault="00A70235" w:rsidP="00A70235">
      <w:pPr>
        <w:spacing w:after="0" w:line="240" w:lineRule="auto"/>
        <w:contextualSpacing/>
        <w:rPr>
          <w:bCs/>
          <w:i/>
          <w:iCs/>
          <w:sz w:val="16"/>
          <w:szCs w:val="20"/>
        </w:rPr>
      </w:pPr>
      <w:r w:rsidRPr="00A70235">
        <w:rPr>
          <w:bCs/>
          <w:i/>
          <w:iCs/>
          <w:sz w:val="16"/>
          <w:szCs w:val="20"/>
        </w:rPr>
        <w:t>Withdrawals (N=2) not reflected in table</w:t>
      </w:r>
    </w:p>
    <w:p w:rsidR="00A70235" w:rsidRPr="00A70235" w:rsidRDefault="00A70235" w:rsidP="00A70235">
      <w:pPr>
        <w:spacing w:after="0" w:line="240" w:lineRule="auto"/>
        <w:contextualSpacing/>
        <w:rPr>
          <w:b/>
          <w:bCs/>
          <w:i/>
          <w:iCs/>
          <w:color w:val="4F81BD" w:themeColor="accent1"/>
          <w:sz w:val="4"/>
          <w:szCs w:val="4"/>
        </w:rPr>
      </w:pPr>
    </w:p>
    <w:tbl>
      <w:tblPr>
        <w:tblStyle w:val="GridTable4-Accent11"/>
        <w:tblW w:w="0" w:type="auto"/>
        <w:tblLook w:val="04A0" w:firstRow="1" w:lastRow="0" w:firstColumn="1" w:lastColumn="0" w:noHBand="0" w:noVBand="1"/>
      </w:tblPr>
      <w:tblGrid>
        <w:gridCol w:w="1475"/>
        <w:gridCol w:w="1470"/>
        <w:gridCol w:w="1470"/>
        <w:gridCol w:w="7"/>
        <w:gridCol w:w="1463"/>
        <w:gridCol w:w="1470"/>
        <w:gridCol w:w="1470"/>
        <w:gridCol w:w="1471"/>
      </w:tblGrid>
      <w:tr w:rsidR="00A70235" w:rsidRPr="00A70235" w:rsidTr="00B54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8"/>
          </w:tcPr>
          <w:p w:rsidR="00A70235" w:rsidRPr="00A70235" w:rsidRDefault="00A70235" w:rsidP="00A70235">
            <w:pPr>
              <w:jc w:val="center"/>
              <w:rPr>
                <w:rFonts w:cs="Calibri"/>
                <w:b w:val="0"/>
                <w:sz w:val="20"/>
                <w:szCs w:val="20"/>
              </w:rPr>
            </w:pPr>
            <w:r w:rsidRPr="00A70235">
              <w:rPr>
                <w:rFonts w:cs="Calibri"/>
                <w:b w:val="0"/>
                <w:sz w:val="20"/>
                <w:szCs w:val="20"/>
              </w:rPr>
              <w:t>TLC 007 CHARACTER STRENGTHS FOR SUCCESS (ONLINE)</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p>
        </w:tc>
        <w:tc>
          <w:tcPr>
            <w:tcW w:w="2947" w:type="dxa"/>
            <w:gridSpan w:val="3"/>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&amp;</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 an Intervention</w:t>
            </w:r>
          </w:p>
        </w:tc>
        <w:tc>
          <w:tcPr>
            <w:tcW w:w="2933" w:type="dxa"/>
            <w:gridSpan w:val="2"/>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Enrolled Intervention – Only</w:t>
            </w:r>
          </w:p>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p>
        </w:tc>
        <w:tc>
          <w:tcPr>
            <w:tcW w:w="1470"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Attended Session – Only</w:t>
            </w:r>
          </w:p>
        </w:tc>
        <w:tc>
          <w:tcPr>
            <w:tcW w:w="1471" w:type="dxa"/>
            <w:vMerge w:val="restart"/>
            <w:shd w:val="clear" w:color="auto" w:fill="17365D" w:themeFill="text2" w:themeFillShade="BF"/>
          </w:tcPr>
          <w:p w:rsidR="00A70235" w:rsidRPr="00A70235" w:rsidRDefault="00A70235" w:rsidP="00A702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Participated in Neither</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shd w:val="clear" w:color="auto" w:fill="17365D" w:themeFill="text2" w:themeFillShade="BF"/>
          </w:tcPr>
          <w:p w:rsidR="00A70235" w:rsidRPr="00A70235" w:rsidRDefault="00A70235" w:rsidP="00A70235">
            <w:pPr>
              <w:rPr>
                <w:rFonts w:ascii="Calibri" w:eastAsia="Calibri" w:hAnsi="Calibri" w:cs="Calibri"/>
                <w:color w:val="FFFFFF" w:themeColor="background1"/>
              </w:rPr>
            </w:pPr>
            <w:r w:rsidRPr="00A70235">
              <w:rPr>
                <w:rFonts w:ascii="Calibri" w:eastAsia="Calibri" w:hAnsi="Calibri" w:cs="Calibri"/>
                <w:color w:val="FFFFFF" w:themeColor="background1"/>
              </w:rPr>
              <w:t>GPA Change</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 Intervention</w:t>
            </w:r>
          </w:p>
        </w:tc>
        <w:tc>
          <w:tcPr>
            <w:tcW w:w="1470" w:type="dxa"/>
            <w:gridSpan w:val="2"/>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Passed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shd w:val="clear" w:color="auto" w:fill="17365D" w:themeFill="text2" w:themeFillShade="BF"/>
          </w:tcPr>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Failed</w:t>
            </w:r>
          </w:p>
          <w:p w:rsidR="00A70235" w:rsidRPr="00A70235" w:rsidRDefault="00A70235" w:rsidP="00A702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r w:rsidRPr="00A70235">
              <w:rPr>
                <w:rFonts w:ascii="Calibri" w:eastAsia="Calibri" w:hAnsi="Calibri" w:cs="Calibri"/>
                <w:color w:val="FFFFFF" w:themeColor="background1"/>
                <w:sz w:val="18"/>
              </w:rPr>
              <w:t>Intervention</w:t>
            </w:r>
          </w:p>
        </w:tc>
        <w:tc>
          <w:tcPr>
            <w:tcW w:w="1470"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c>
          <w:tcPr>
            <w:tcW w:w="1471" w:type="dxa"/>
            <w:vMerge/>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rPr>
            </w:pP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Increase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87%</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75%</w:t>
            </w:r>
          </w:p>
        </w:tc>
        <w:tc>
          <w:tcPr>
            <w:tcW w:w="1470" w:type="dxa"/>
            <w:gridSpan w:val="2"/>
          </w:tcPr>
          <w:p w:rsidR="00A70235" w:rsidRPr="00A70235" w:rsidRDefault="00A70235" w:rsidP="00A70235">
            <w:pPr>
              <w:tabs>
                <w:tab w:val="left" w:pos="942"/>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77%</w:t>
            </w:r>
            <w:r w:rsidRPr="00A70235">
              <w:rPr>
                <w:rFonts w:ascii="Calibri" w:eastAsia="Calibri" w:hAnsi="Calibri" w:cs="Calibri"/>
                <w:sz w:val="18"/>
                <w:szCs w:val="18"/>
              </w:rPr>
              <w:tab/>
              <w:t xml:space="preserve"> </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34%</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21%</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Decrease</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13%</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25%</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23%</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66%</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56%</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64%</w:t>
            </w:r>
          </w:p>
        </w:tc>
      </w:tr>
      <w:tr w:rsidR="00A70235" w:rsidRPr="00A70235" w:rsidTr="00B5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No Change</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gridSpan w:val="2"/>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0</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33%</w:t>
            </w:r>
          </w:p>
        </w:tc>
        <w:tc>
          <w:tcPr>
            <w:tcW w:w="1470"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9%</w:t>
            </w:r>
          </w:p>
        </w:tc>
        <w:tc>
          <w:tcPr>
            <w:tcW w:w="1471" w:type="dxa"/>
          </w:tcPr>
          <w:p w:rsidR="00A70235" w:rsidRPr="00A70235" w:rsidRDefault="00A70235" w:rsidP="00A7023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15%</w:t>
            </w:r>
          </w:p>
        </w:tc>
      </w:tr>
      <w:tr w:rsidR="00A70235" w:rsidRPr="00A70235" w:rsidTr="00B54D91">
        <w:tc>
          <w:tcPr>
            <w:cnfStyle w:val="001000000000" w:firstRow="0" w:lastRow="0" w:firstColumn="1" w:lastColumn="0" w:oddVBand="0" w:evenVBand="0" w:oddHBand="0" w:evenHBand="0" w:firstRowFirstColumn="0" w:firstRowLastColumn="0" w:lastRowFirstColumn="0" w:lastRowLastColumn="0"/>
            <w:tcW w:w="1475" w:type="dxa"/>
          </w:tcPr>
          <w:p w:rsidR="00A70235" w:rsidRPr="00A70235" w:rsidRDefault="00A70235" w:rsidP="00A70235">
            <w:pPr>
              <w:rPr>
                <w:rFonts w:ascii="Calibri" w:eastAsia="Calibri" w:hAnsi="Calibri" w:cs="Calibri"/>
                <w:sz w:val="18"/>
                <w:szCs w:val="18"/>
              </w:rPr>
            </w:pPr>
            <w:r w:rsidRPr="00A70235">
              <w:rPr>
                <w:rFonts w:ascii="Calibri" w:eastAsia="Calibri" w:hAnsi="Calibri" w:cs="Calibri"/>
                <w:sz w:val="18"/>
                <w:szCs w:val="18"/>
              </w:rPr>
              <w:t>Total students</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15</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4</w:t>
            </w:r>
          </w:p>
        </w:tc>
        <w:tc>
          <w:tcPr>
            <w:tcW w:w="1470" w:type="dxa"/>
            <w:gridSpan w:val="2"/>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13</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w:t>
            </w:r>
          </w:p>
        </w:tc>
        <w:tc>
          <w:tcPr>
            <w:tcW w:w="1470"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32</w:t>
            </w:r>
          </w:p>
        </w:tc>
        <w:tc>
          <w:tcPr>
            <w:tcW w:w="1471" w:type="dxa"/>
          </w:tcPr>
          <w:p w:rsidR="00A70235" w:rsidRPr="00A70235" w:rsidRDefault="00A70235" w:rsidP="00A7023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A70235">
              <w:rPr>
                <w:rFonts w:ascii="Calibri" w:eastAsia="Calibri" w:hAnsi="Calibri" w:cs="Calibri"/>
                <w:sz w:val="18"/>
                <w:szCs w:val="18"/>
              </w:rPr>
              <w:t>265</w:t>
            </w:r>
          </w:p>
        </w:tc>
      </w:tr>
    </w:tbl>
    <w:p w:rsidR="00A70235" w:rsidRPr="00A70235" w:rsidRDefault="00A70235" w:rsidP="00A70235">
      <w:pPr>
        <w:spacing w:after="0" w:line="240" w:lineRule="auto"/>
        <w:contextualSpacing/>
        <w:rPr>
          <w:bCs/>
          <w:i/>
          <w:iCs/>
          <w:sz w:val="16"/>
          <w:szCs w:val="20"/>
        </w:rPr>
      </w:pPr>
      <w:r w:rsidRPr="00A70235">
        <w:rPr>
          <w:bCs/>
          <w:i/>
          <w:iCs/>
          <w:sz w:val="16"/>
          <w:szCs w:val="20"/>
        </w:rPr>
        <w:t>Withdrawals (N=1) not reflected in table</w:t>
      </w:r>
    </w:p>
    <w:p w:rsidR="00A70235" w:rsidRDefault="00A70235" w:rsidP="00DC6D98">
      <w:pPr>
        <w:spacing w:before="100" w:beforeAutospacing="1" w:after="100" w:afterAutospacing="1" w:line="240" w:lineRule="auto"/>
        <w:contextualSpacing/>
        <w:jc w:val="center"/>
        <w:rPr>
          <w:b/>
          <w:bCs/>
          <w:i/>
          <w:iCs/>
        </w:rPr>
      </w:pPr>
    </w:p>
    <w:p w:rsidR="00925CFA" w:rsidRDefault="00925CFA" w:rsidP="00DC6D98">
      <w:pPr>
        <w:spacing w:before="100" w:beforeAutospacing="1" w:after="100" w:afterAutospacing="1" w:line="240" w:lineRule="auto"/>
        <w:contextualSpacing/>
        <w:jc w:val="center"/>
        <w:rPr>
          <w:b/>
          <w:bCs/>
          <w:i/>
          <w:iCs/>
        </w:rPr>
      </w:pPr>
    </w:p>
    <w:p w:rsidR="00805457" w:rsidRDefault="00A70235" w:rsidP="00DC6D98">
      <w:pPr>
        <w:spacing w:before="100" w:beforeAutospacing="1" w:after="100" w:afterAutospacing="1" w:line="240" w:lineRule="auto"/>
        <w:contextualSpacing/>
        <w:jc w:val="center"/>
        <w:rPr>
          <w:b/>
          <w:bCs/>
          <w:i/>
          <w:iCs/>
        </w:rPr>
      </w:pPr>
      <w:r w:rsidRPr="00A52062">
        <w:rPr>
          <w:b/>
          <w:bCs/>
          <w:i/>
          <w:iCs/>
        </w:rPr>
        <w:lastRenderedPageBreak/>
        <w:t xml:space="preserve"> </w:t>
      </w:r>
    </w:p>
    <w:p w:rsidR="00DF0F39" w:rsidRDefault="00BD01B1" w:rsidP="00805457">
      <w:pPr>
        <w:spacing w:before="100" w:beforeAutospacing="1" w:after="100" w:afterAutospacing="1" w:line="240" w:lineRule="auto"/>
        <w:contextualSpacing/>
        <w:jc w:val="center"/>
        <w:rPr>
          <w:b/>
          <w:bCs/>
          <w:i/>
          <w:iCs/>
        </w:rPr>
      </w:pPr>
      <w:r w:rsidRPr="00A52062">
        <w:rPr>
          <w:b/>
          <w:bCs/>
          <w:i/>
          <w:iCs/>
        </w:rPr>
        <w:t>(</w:t>
      </w:r>
      <w:r w:rsidR="00DC6D98" w:rsidRPr="00A52062">
        <w:rPr>
          <w:b/>
          <w:bCs/>
          <w:i/>
          <w:iCs/>
        </w:rPr>
        <w:t xml:space="preserve">3) Selected findings of TLC </w:t>
      </w:r>
      <w:r w:rsidR="00EE0AB7" w:rsidRPr="00A52062">
        <w:rPr>
          <w:b/>
          <w:bCs/>
          <w:i/>
          <w:iCs/>
        </w:rPr>
        <w:t xml:space="preserve">longitudinal </w:t>
      </w:r>
      <w:r w:rsidR="00DC6D98" w:rsidRPr="00A52062">
        <w:rPr>
          <w:b/>
          <w:bCs/>
          <w:i/>
          <w:iCs/>
        </w:rPr>
        <w:t>assessment project conducted with the support of Yvonne Kirby</w:t>
      </w:r>
    </w:p>
    <w:p w:rsidR="00805457" w:rsidRPr="00805457" w:rsidRDefault="00805457" w:rsidP="00805457">
      <w:pPr>
        <w:spacing w:before="100" w:beforeAutospacing="1" w:after="100" w:afterAutospacing="1" w:line="240" w:lineRule="auto"/>
        <w:contextualSpacing/>
        <w:jc w:val="center"/>
        <w:rPr>
          <w:bCs/>
          <w:i/>
          <w:iCs/>
        </w:rPr>
      </w:pPr>
    </w:p>
    <w:p w:rsidR="00D9731A" w:rsidRDefault="00D9731A" w:rsidP="00597235">
      <w:pPr>
        <w:spacing w:before="100" w:beforeAutospacing="1" w:after="100" w:afterAutospacing="1" w:line="240" w:lineRule="auto"/>
        <w:contextualSpacing/>
        <w:rPr>
          <w:bCs/>
          <w:iCs/>
        </w:rPr>
      </w:pPr>
      <w:r>
        <w:rPr>
          <w:bCs/>
          <w:iCs/>
        </w:rPr>
        <w:t>This</w:t>
      </w:r>
      <w:r w:rsidR="00B54D91">
        <w:rPr>
          <w:bCs/>
          <w:iCs/>
        </w:rPr>
        <w:t xml:space="preserve"> assessment project examines grade point average achievement, retention, and credits e</w:t>
      </w:r>
      <w:r w:rsidR="009625EB">
        <w:rPr>
          <w:bCs/>
          <w:iCs/>
        </w:rPr>
        <w:t>arned over three semesters, of</w:t>
      </w:r>
      <w:r w:rsidR="00B54D91">
        <w:rPr>
          <w:bCs/>
          <w:iCs/>
        </w:rPr>
        <w:t xml:space="preserve"> a cohort of students whose initial participation in Learning Center services was in the Fall semester, 2013. </w:t>
      </w:r>
      <w:r w:rsidR="009625EB">
        <w:rPr>
          <w:bCs/>
          <w:iCs/>
        </w:rPr>
        <w:t xml:space="preserve"> BlueTrack </w:t>
      </w:r>
      <w:r>
        <w:rPr>
          <w:bCs/>
          <w:iCs/>
        </w:rPr>
        <w:t>capture</w:t>
      </w:r>
      <w:r w:rsidR="009625EB">
        <w:rPr>
          <w:bCs/>
          <w:iCs/>
        </w:rPr>
        <w:t>d 1,116</w:t>
      </w:r>
      <w:r>
        <w:rPr>
          <w:bCs/>
          <w:iCs/>
        </w:rPr>
        <w:t xml:space="preserve"> student</w:t>
      </w:r>
      <w:r w:rsidR="009625EB">
        <w:rPr>
          <w:bCs/>
          <w:iCs/>
        </w:rPr>
        <w:t>s’</w:t>
      </w:r>
      <w:r>
        <w:rPr>
          <w:bCs/>
          <w:iCs/>
        </w:rPr>
        <w:t xml:space="preserve"> participation in Academic Success Coaching, Tutoring, and</w:t>
      </w:r>
      <w:r w:rsidR="00407C3E">
        <w:rPr>
          <w:bCs/>
          <w:iCs/>
        </w:rPr>
        <w:t xml:space="preserve"> the</w:t>
      </w:r>
      <w:r>
        <w:rPr>
          <w:bCs/>
          <w:iCs/>
        </w:rPr>
        <w:t xml:space="preserve"> Early Alert</w:t>
      </w:r>
      <w:r w:rsidR="00407C3E">
        <w:rPr>
          <w:bCs/>
          <w:iCs/>
        </w:rPr>
        <w:t xml:space="preserve"> program</w:t>
      </w:r>
      <w:r w:rsidR="00B54D91">
        <w:rPr>
          <w:bCs/>
          <w:iCs/>
        </w:rPr>
        <w:t xml:space="preserve">. </w:t>
      </w:r>
      <w:r>
        <w:rPr>
          <w:bCs/>
          <w:iCs/>
        </w:rPr>
        <w:t xml:space="preserve"> </w:t>
      </w:r>
      <w:r w:rsidR="00407C3E">
        <w:rPr>
          <w:bCs/>
          <w:iCs/>
        </w:rPr>
        <w:t xml:space="preserve">A full report of the investigation is forthcoming.  Some initial findings are reported here. </w:t>
      </w:r>
    </w:p>
    <w:p w:rsidR="00BD01B1" w:rsidRPr="00805457" w:rsidRDefault="00BD01B1" w:rsidP="00597235">
      <w:pPr>
        <w:spacing w:before="100" w:beforeAutospacing="1" w:after="100" w:afterAutospacing="1" w:line="240" w:lineRule="auto"/>
        <w:contextualSpacing/>
        <w:rPr>
          <w:bCs/>
          <w:i/>
          <w:iCs/>
          <w:sz w:val="16"/>
          <w:szCs w:val="16"/>
        </w:rPr>
      </w:pPr>
    </w:p>
    <w:p w:rsidR="00F44A5D" w:rsidRPr="00F44A5D" w:rsidRDefault="00407C3E" w:rsidP="00597235">
      <w:pPr>
        <w:spacing w:before="100" w:beforeAutospacing="1" w:after="100" w:afterAutospacing="1" w:line="240" w:lineRule="auto"/>
        <w:contextualSpacing/>
        <w:rPr>
          <w:b/>
          <w:bCs/>
          <w:iCs/>
        </w:rPr>
      </w:pPr>
      <w:r w:rsidRPr="00F44A5D">
        <w:rPr>
          <w:b/>
          <w:bCs/>
          <w:i/>
          <w:iCs/>
        </w:rPr>
        <w:t xml:space="preserve">Participation </w:t>
      </w:r>
      <w:r w:rsidR="00E57483" w:rsidRPr="00F44A5D">
        <w:rPr>
          <w:b/>
          <w:bCs/>
          <w:i/>
          <w:iCs/>
        </w:rPr>
        <w:t xml:space="preserve">in TLC services in Fall 2013 </w:t>
      </w:r>
      <w:r w:rsidR="00D1797F" w:rsidRPr="00F44A5D">
        <w:rPr>
          <w:b/>
          <w:bCs/>
          <w:iCs/>
        </w:rPr>
        <w:t>–</w:t>
      </w:r>
      <w:r w:rsidR="00E57483" w:rsidRPr="00F44A5D">
        <w:rPr>
          <w:b/>
          <w:bCs/>
          <w:iCs/>
        </w:rPr>
        <w:tab/>
      </w:r>
      <w:r w:rsidRPr="00F44A5D">
        <w:rPr>
          <w:b/>
          <w:bCs/>
          <w:iCs/>
        </w:rPr>
        <w:t xml:space="preserve"> </w:t>
      </w:r>
    </w:p>
    <w:p w:rsidR="00407C3E" w:rsidRDefault="00407C3E" w:rsidP="00597235">
      <w:pPr>
        <w:spacing w:before="100" w:beforeAutospacing="1" w:after="100" w:afterAutospacing="1" w:line="240" w:lineRule="auto"/>
        <w:contextualSpacing/>
        <w:rPr>
          <w:bCs/>
          <w:iCs/>
        </w:rPr>
      </w:pPr>
      <w:r>
        <w:rPr>
          <w:bCs/>
          <w:iCs/>
        </w:rPr>
        <w:t>Headcount</w:t>
      </w:r>
      <w:r w:rsidR="00D1797F">
        <w:rPr>
          <w:bCs/>
          <w:iCs/>
        </w:rPr>
        <w:t xml:space="preserve"> of students participating in TLC services</w:t>
      </w:r>
      <w:r>
        <w:rPr>
          <w:bCs/>
          <w:iCs/>
        </w:rPr>
        <w:t xml:space="preserve"> = 1,116 students</w:t>
      </w:r>
      <w:r>
        <w:rPr>
          <w:bCs/>
          <w:iCs/>
        </w:rPr>
        <w:tab/>
      </w:r>
      <w:r w:rsidR="00805457">
        <w:rPr>
          <w:bCs/>
          <w:iCs/>
        </w:rPr>
        <w:tab/>
      </w:r>
      <w:r>
        <w:rPr>
          <w:bCs/>
          <w:iCs/>
        </w:rPr>
        <w:t>Number of TLC visits = 4,437</w:t>
      </w:r>
    </w:p>
    <w:p w:rsidR="00E57483" w:rsidRPr="00F44A5D" w:rsidRDefault="00407C3E" w:rsidP="00597235">
      <w:pPr>
        <w:spacing w:before="100" w:beforeAutospacing="1" w:after="100" w:afterAutospacing="1" w:line="240" w:lineRule="auto"/>
        <w:contextualSpacing/>
        <w:rPr>
          <w:b/>
          <w:bCs/>
          <w:i/>
          <w:iCs/>
        </w:rPr>
      </w:pPr>
      <w:r w:rsidRPr="00F44A5D">
        <w:rPr>
          <w:b/>
          <w:bCs/>
          <w:i/>
          <w:iCs/>
        </w:rPr>
        <w:t xml:space="preserve">Demographics of the cohort </w:t>
      </w:r>
      <w:r w:rsidR="00E57483" w:rsidRPr="00F44A5D">
        <w:rPr>
          <w:b/>
          <w:bCs/>
          <w:i/>
          <w:iCs/>
        </w:rPr>
        <w:t>–</w:t>
      </w:r>
      <w:r w:rsidRPr="00F44A5D">
        <w:rPr>
          <w:b/>
          <w:bCs/>
          <w:i/>
          <w:iCs/>
        </w:rPr>
        <w:t xml:space="preserve"> </w:t>
      </w:r>
    </w:p>
    <w:p w:rsidR="00407C3E" w:rsidRDefault="00407C3E" w:rsidP="00597235">
      <w:pPr>
        <w:spacing w:before="100" w:beforeAutospacing="1" w:after="100" w:afterAutospacing="1" w:line="240" w:lineRule="auto"/>
        <w:contextualSpacing/>
        <w:rPr>
          <w:bCs/>
          <w:iCs/>
        </w:rPr>
      </w:pPr>
      <w:r>
        <w:rPr>
          <w:bCs/>
          <w:iCs/>
        </w:rPr>
        <w:t>Under-represented minority = 41%</w:t>
      </w:r>
      <w:r>
        <w:rPr>
          <w:bCs/>
          <w:iCs/>
        </w:rPr>
        <w:tab/>
        <w:t>Female = 51%</w:t>
      </w:r>
      <w:r>
        <w:rPr>
          <w:bCs/>
          <w:iCs/>
        </w:rPr>
        <w:tab/>
      </w:r>
      <w:r>
        <w:rPr>
          <w:bCs/>
          <w:iCs/>
        </w:rPr>
        <w:tab/>
        <w:t xml:space="preserve">Full-time status = 87% </w:t>
      </w:r>
    </w:p>
    <w:p w:rsidR="00E57483" w:rsidRDefault="00E57483" w:rsidP="00597235">
      <w:pPr>
        <w:spacing w:before="100" w:beforeAutospacing="1" w:after="100" w:afterAutospacing="1" w:line="240" w:lineRule="auto"/>
        <w:contextualSpacing/>
        <w:rPr>
          <w:bCs/>
          <w:i/>
          <w:iCs/>
        </w:rPr>
      </w:pPr>
    </w:p>
    <w:p w:rsidR="00B12EAF" w:rsidRDefault="009A616C" w:rsidP="00597235">
      <w:pPr>
        <w:spacing w:before="100" w:beforeAutospacing="1" w:after="100" w:afterAutospacing="1" w:line="240" w:lineRule="auto"/>
        <w:contextualSpacing/>
        <w:rPr>
          <w:bCs/>
          <w:i/>
          <w:iCs/>
        </w:rPr>
      </w:pPr>
      <w:r>
        <w:rPr>
          <w:bCs/>
          <w:i/>
          <w:iCs/>
        </w:rPr>
        <w:t xml:space="preserve">Description of TLC Participation - </w:t>
      </w:r>
      <w:r w:rsidR="00D1797F" w:rsidRPr="00D1797F">
        <w:rPr>
          <w:bCs/>
          <w:i/>
          <w:iCs/>
        </w:rPr>
        <w:t xml:space="preserve"> </w:t>
      </w:r>
    </w:p>
    <w:p w:rsidR="00B12EAF" w:rsidRDefault="00B12EAF" w:rsidP="00597235">
      <w:pPr>
        <w:spacing w:before="100" w:beforeAutospacing="1" w:after="100" w:afterAutospacing="1" w:line="240" w:lineRule="auto"/>
        <w:contextualSpacing/>
        <w:rPr>
          <w:bCs/>
          <w:iCs/>
        </w:rPr>
      </w:pPr>
      <w:r w:rsidRPr="00BD01B1">
        <w:rPr>
          <w:b/>
          <w:bCs/>
          <w:iCs/>
        </w:rPr>
        <w:t>Academic Success Coaching</w:t>
      </w:r>
      <w:r>
        <w:rPr>
          <w:bCs/>
          <w:iCs/>
        </w:rPr>
        <w:t xml:space="preserve"> – In the Fall of 2013 Academic Success Coaching was available to all CCSU students.  Approximately half of the students</w:t>
      </w:r>
      <w:r w:rsidR="00B54D91">
        <w:rPr>
          <w:bCs/>
          <w:iCs/>
        </w:rPr>
        <w:t xml:space="preserve"> who received success coaching were on academic probation and were</w:t>
      </w:r>
      <w:r>
        <w:rPr>
          <w:bCs/>
          <w:iCs/>
        </w:rPr>
        <w:t xml:space="preserve"> </w:t>
      </w:r>
      <w:r w:rsidR="00B54D91">
        <w:rPr>
          <w:bCs/>
          <w:iCs/>
        </w:rPr>
        <w:t xml:space="preserve">required to attend.  These students began with a cumulative GPA </w:t>
      </w:r>
      <w:r>
        <w:rPr>
          <w:bCs/>
          <w:iCs/>
        </w:rPr>
        <w:t xml:space="preserve">less than 2.00. </w:t>
      </w:r>
    </w:p>
    <w:p w:rsidR="002D1170" w:rsidRDefault="000B0E36" w:rsidP="00597235">
      <w:pPr>
        <w:spacing w:before="100" w:beforeAutospacing="1" w:after="100" w:afterAutospacing="1" w:line="240" w:lineRule="auto"/>
        <w:contextualSpacing/>
        <w:rPr>
          <w:bCs/>
          <w:iCs/>
        </w:rPr>
      </w:pPr>
      <w:r w:rsidRPr="00BD01B1">
        <w:rPr>
          <w:b/>
          <w:bCs/>
          <w:iCs/>
        </w:rPr>
        <w:t xml:space="preserve">Tutoring </w:t>
      </w:r>
      <w:r>
        <w:rPr>
          <w:bCs/>
          <w:iCs/>
        </w:rPr>
        <w:t xml:space="preserve">– In the Fall of 2013, </w:t>
      </w:r>
      <w:r w:rsidR="002D1170">
        <w:rPr>
          <w:bCs/>
          <w:iCs/>
        </w:rPr>
        <w:t>drop in tutoring was availabl</w:t>
      </w:r>
      <w:r w:rsidR="00805457">
        <w:rPr>
          <w:bCs/>
          <w:iCs/>
        </w:rPr>
        <w:t>e for all courses in math</w:t>
      </w:r>
      <w:r w:rsidR="002D1170">
        <w:rPr>
          <w:bCs/>
          <w:iCs/>
        </w:rPr>
        <w:t xml:space="preserve"> and statistics and by appointment for Research Methods in </w:t>
      </w:r>
      <w:r w:rsidR="00B54D91">
        <w:rPr>
          <w:bCs/>
          <w:iCs/>
        </w:rPr>
        <w:t>Psychology</w:t>
      </w:r>
      <w:r w:rsidR="002D1170">
        <w:rPr>
          <w:bCs/>
          <w:iCs/>
        </w:rPr>
        <w:t xml:space="preserve">.  All CCSU students are eligible to participate.  Use of tutoring is voluntary. </w:t>
      </w:r>
    </w:p>
    <w:p w:rsidR="00B12EAF" w:rsidRPr="00B12EAF" w:rsidRDefault="002D1170" w:rsidP="00597235">
      <w:pPr>
        <w:spacing w:before="100" w:beforeAutospacing="1" w:after="100" w:afterAutospacing="1" w:line="240" w:lineRule="auto"/>
        <w:contextualSpacing/>
        <w:rPr>
          <w:bCs/>
          <w:iCs/>
        </w:rPr>
      </w:pPr>
      <w:r w:rsidRPr="00BD01B1">
        <w:rPr>
          <w:b/>
          <w:bCs/>
          <w:iCs/>
        </w:rPr>
        <w:t xml:space="preserve">Early </w:t>
      </w:r>
      <w:r w:rsidR="00B54D91">
        <w:rPr>
          <w:b/>
          <w:bCs/>
          <w:iCs/>
        </w:rPr>
        <w:t xml:space="preserve">Academic </w:t>
      </w:r>
      <w:r w:rsidRPr="00BD01B1">
        <w:rPr>
          <w:b/>
          <w:bCs/>
          <w:iCs/>
        </w:rPr>
        <w:t>Alert</w:t>
      </w:r>
      <w:r>
        <w:rPr>
          <w:bCs/>
          <w:iCs/>
        </w:rPr>
        <w:t xml:space="preserve"> – The students repre</w:t>
      </w:r>
      <w:r w:rsidR="00E57483">
        <w:rPr>
          <w:bCs/>
          <w:iCs/>
        </w:rPr>
        <w:t>sented in thi</w:t>
      </w:r>
      <w:r w:rsidR="00B54D91">
        <w:rPr>
          <w:bCs/>
          <w:iCs/>
        </w:rPr>
        <w:t>s assessment who responded to The Learning Center communication received because of an</w:t>
      </w:r>
      <w:r w:rsidR="00E57483">
        <w:rPr>
          <w:bCs/>
          <w:iCs/>
        </w:rPr>
        <w:t xml:space="preserve"> Early</w:t>
      </w:r>
      <w:r w:rsidR="00B54D91">
        <w:rPr>
          <w:bCs/>
          <w:iCs/>
        </w:rPr>
        <w:t xml:space="preserve"> Academic</w:t>
      </w:r>
      <w:r w:rsidR="00E57483">
        <w:rPr>
          <w:bCs/>
          <w:iCs/>
        </w:rPr>
        <w:t xml:space="preserve"> Alert</w:t>
      </w:r>
      <w:r>
        <w:rPr>
          <w:bCs/>
          <w:iCs/>
        </w:rPr>
        <w:t xml:space="preserve"> are</w:t>
      </w:r>
      <w:r w:rsidR="00B54D91">
        <w:rPr>
          <w:bCs/>
          <w:iCs/>
        </w:rPr>
        <w:t xml:space="preserve"> ONLY those who </w:t>
      </w:r>
      <w:r>
        <w:rPr>
          <w:bCs/>
          <w:iCs/>
        </w:rPr>
        <w:t xml:space="preserve">met, in-person, with the Academic Support Specialist. </w:t>
      </w:r>
      <w:r w:rsidR="00B54D91">
        <w:rPr>
          <w:bCs/>
          <w:iCs/>
        </w:rPr>
        <w:t xml:space="preserve"> </w:t>
      </w:r>
      <w:r>
        <w:rPr>
          <w:bCs/>
          <w:iCs/>
        </w:rPr>
        <w:t xml:space="preserve"> </w:t>
      </w:r>
      <w:r w:rsidR="00F44A5D">
        <w:t>The majority of students who receive notification from TLC choose to commun</w:t>
      </w:r>
      <w:r w:rsidR="00B54D91">
        <w:t xml:space="preserve">icate via phone or email which is not captured by BlueTrack. </w:t>
      </w:r>
      <w:r w:rsidR="009625EB">
        <w:t xml:space="preserve"> The effectiveness of the Early Academic Alert program is NOT reflected in this assessment, as only the participation in TLC services of students who actually visited the Center for a face-to-face meeting.  </w:t>
      </w:r>
    </w:p>
    <w:p w:rsidR="00D1797F" w:rsidRPr="00D1797F" w:rsidRDefault="00D1797F" w:rsidP="00597235">
      <w:pPr>
        <w:spacing w:before="100" w:beforeAutospacing="1" w:after="100" w:afterAutospacing="1" w:line="240" w:lineRule="auto"/>
        <w:contextualSpacing/>
        <w:rPr>
          <w:bCs/>
          <w:iCs/>
        </w:rPr>
      </w:pPr>
    </w:p>
    <w:tbl>
      <w:tblPr>
        <w:tblStyle w:val="MediumGrid1-Accent1"/>
        <w:tblW w:w="4747" w:type="pct"/>
        <w:tblLayout w:type="fixed"/>
        <w:tblLook w:val="04A0" w:firstRow="1" w:lastRow="0" w:firstColumn="1" w:lastColumn="0" w:noHBand="0" w:noVBand="1"/>
      </w:tblPr>
      <w:tblGrid>
        <w:gridCol w:w="1458"/>
        <w:gridCol w:w="2339"/>
        <w:gridCol w:w="2343"/>
        <w:gridCol w:w="1801"/>
        <w:gridCol w:w="1169"/>
        <w:gridCol w:w="632"/>
        <w:gridCol w:w="717"/>
      </w:tblGrid>
      <w:tr w:rsidR="00805457" w:rsidRPr="00D1797F" w:rsidTr="00805457">
        <w:trPr>
          <w:cnfStyle w:val="100000000000" w:firstRow="1" w:lastRow="0" w:firstColumn="0" w:lastColumn="0" w:oddVBand="0" w:evenVBand="0" w:oddHBand="0" w:evenHBand="0" w:firstRowFirstColumn="0" w:firstRowLastColumn="0" w:lastRowFirstColumn="0" w:lastRowLastColumn="0"/>
          <w:trHeight w:val="1618"/>
        </w:trPr>
        <w:tc>
          <w:tcPr>
            <w:cnfStyle w:val="001000000000" w:firstRow="0" w:lastRow="0" w:firstColumn="1" w:lastColumn="0" w:oddVBand="0" w:evenVBand="0" w:oddHBand="0" w:evenHBand="0" w:firstRowFirstColumn="0" w:firstRowLastColumn="0" w:lastRowFirstColumn="0" w:lastRowLastColumn="0"/>
            <w:tcW w:w="697" w:type="pct"/>
          </w:tcPr>
          <w:p w:rsidR="00F44A5D" w:rsidRPr="00D1797F" w:rsidRDefault="00F44A5D" w:rsidP="00D1797F"/>
        </w:tc>
        <w:tc>
          <w:tcPr>
            <w:tcW w:w="1118" w:type="pct"/>
          </w:tcPr>
          <w:p w:rsidR="00F44A5D" w:rsidRPr="00805CEA" w:rsidRDefault="00F44A5D" w:rsidP="00D1797F">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Headcount of students who participated in TLC services in the Fall of 2013 who are enrolled @ CCSU</w:t>
            </w:r>
          </w:p>
        </w:tc>
        <w:tc>
          <w:tcPr>
            <w:tcW w:w="1120" w:type="pct"/>
          </w:tcPr>
          <w:p w:rsidR="00F44A5D" w:rsidRPr="00805CEA" w:rsidRDefault="00F44A5D" w:rsidP="00D1797F">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Breakdown of the Cohort by participation in the TLC service, or combination of services in F13</w:t>
            </w:r>
          </w:p>
          <w:p w:rsidR="00F44A5D" w:rsidRPr="00805CEA" w:rsidRDefault="00F44A5D" w:rsidP="00D1797F">
            <w:pPr>
              <w:cnfStyle w:val="100000000000" w:firstRow="1" w:lastRow="0" w:firstColumn="0" w:lastColumn="0" w:oddVBand="0" w:evenVBand="0" w:oddHBand="0" w:evenHBand="0" w:firstRowFirstColumn="0" w:firstRowLastColumn="0" w:lastRowFirstColumn="0" w:lastRowLastColumn="0"/>
              <w:rPr>
                <w:sz w:val="20"/>
                <w:szCs w:val="20"/>
              </w:rPr>
            </w:pPr>
          </w:p>
        </w:tc>
        <w:tc>
          <w:tcPr>
            <w:tcW w:w="861" w:type="pct"/>
          </w:tcPr>
          <w:p w:rsidR="00F44A5D" w:rsidRPr="00805CEA" w:rsidRDefault="00F44A5D" w:rsidP="00D1797F">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Average change in GPA earned in relation to Cum GPA (F13)</w:t>
            </w:r>
            <w:r w:rsidR="00EE7894" w:rsidRPr="00805CEA">
              <w:rPr>
                <w:sz w:val="20"/>
                <w:szCs w:val="20"/>
              </w:rPr>
              <w:t xml:space="preserve"> at the end of each semester</w:t>
            </w:r>
          </w:p>
        </w:tc>
        <w:tc>
          <w:tcPr>
            <w:tcW w:w="559" w:type="pct"/>
          </w:tcPr>
          <w:p w:rsidR="00F44A5D" w:rsidRPr="00805CEA" w:rsidRDefault="00F44A5D" w:rsidP="00805457">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 xml:space="preserve">Average # of </w:t>
            </w:r>
            <w:r w:rsidR="00805457" w:rsidRPr="00805CEA">
              <w:rPr>
                <w:sz w:val="20"/>
                <w:szCs w:val="20"/>
              </w:rPr>
              <w:t xml:space="preserve">credits earned </w:t>
            </w:r>
            <w:r w:rsidRPr="00805CEA">
              <w:rPr>
                <w:sz w:val="20"/>
                <w:szCs w:val="20"/>
              </w:rPr>
              <w:t xml:space="preserve">beginning </w:t>
            </w:r>
            <w:r w:rsidR="00805457" w:rsidRPr="00805CEA">
              <w:rPr>
                <w:sz w:val="20"/>
                <w:szCs w:val="20"/>
              </w:rPr>
              <w:t xml:space="preserve"> with </w:t>
            </w:r>
            <w:r w:rsidRPr="00805CEA">
              <w:rPr>
                <w:sz w:val="20"/>
                <w:szCs w:val="20"/>
              </w:rPr>
              <w:t>F13</w:t>
            </w:r>
          </w:p>
        </w:tc>
        <w:tc>
          <w:tcPr>
            <w:tcW w:w="645" w:type="pct"/>
            <w:gridSpan w:val="2"/>
          </w:tcPr>
          <w:p w:rsidR="00F44A5D" w:rsidRPr="00805CEA" w:rsidRDefault="00F44A5D" w:rsidP="00D1797F">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 xml:space="preserve">Retained </w:t>
            </w:r>
          </w:p>
          <w:p w:rsidR="00F44A5D" w:rsidRPr="00805CEA" w:rsidRDefault="00F44A5D" w:rsidP="00D1797F">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 xml:space="preserve">or </w:t>
            </w:r>
          </w:p>
          <w:p w:rsidR="00F44A5D" w:rsidRPr="00805CEA" w:rsidRDefault="00F44A5D" w:rsidP="00D1797F">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graduated</w:t>
            </w:r>
          </w:p>
          <w:p w:rsidR="00F44A5D" w:rsidRPr="00805CEA" w:rsidRDefault="00F44A5D" w:rsidP="00A65B82">
            <w:pPr>
              <w:cnfStyle w:val="100000000000" w:firstRow="1" w:lastRow="0" w:firstColumn="0" w:lastColumn="0" w:oddVBand="0" w:evenVBand="0" w:oddHBand="0" w:evenHBand="0" w:firstRowFirstColumn="0" w:firstRowLastColumn="0" w:lastRowFirstColumn="0" w:lastRowLastColumn="0"/>
              <w:rPr>
                <w:sz w:val="20"/>
                <w:szCs w:val="20"/>
              </w:rPr>
            </w:pPr>
            <w:r w:rsidRPr="00805CEA">
              <w:rPr>
                <w:sz w:val="20"/>
                <w:szCs w:val="20"/>
              </w:rPr>
              <w:t xml:space="preserve"> </w:t>
            </w:r>
          </w:p>
        </w:tc>
      </w:tr>
      <w:tr w:rsidR="00805457" w:rsidRPr="00D1797F" w:rsidTr="00805457">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697" w:type="pct"/>
          </w:tcPr>
          <w:p w:rsidR="00F44A5D" w:rsidRDefault="00F44A5D" w:rsidP="00D1797F">
            <w:r w:rsidRPr="00D1797F">
              <w:t>Fall, 2013</w:t>
            </w:r>
          </w:p>
          <w:p w:rsidR="00F44A5D" w:rsidRPr="00D1797F" w:rsidRDefault="00F44A5D" w:rsidP="00D1797F">
            <w:r>
              <w:t>Cohort</w:t>
            </w:r>
          </w:p>
          <w:p w:rsidR="00F44A5D" w:rsidRPr="00D1797F" w:rsidRDefault="00F44A5D" w:rsidP="00D1797F"/>
        </w:tc>
        <w:tc>
          <w:tcPr>
            <w:tcW w:w="1118" w:type="pct"/>
          </w:tcPr>
          <w:p w:rsidR="00F44A5D" w:rsidRDefault="00F44A5D" w:rsidP="00D1797F">
            <w:pPr>
              <w:cnfStyle w:val="000000100000" w:firstRow="0" w:lastRow="0" w:firstColumn="0" w:lastColumn="0" w:oddVBand="0" w:evenVBand="0" w:oddHBand="1" w:evenHBand="0" w:firstRowFirstColumn="0" w:firstRowLastColumn="0" w:lastRowFirstColumn="0" w:lastRowLastColumn="0"/>
            </w:pPr>
            <w:r w:rsidRPr="00D1797F">
              <w:t xml:space="preserve">1,116 </w:t>
            </w:r>
          </w:p>
          <w:p w:rsidR="00F44A5D" w:rsidRPr="00D1797F" w:rsidRDefault="00F44A5D" w:rsidP="00D1797F">
            <w:pPr>
              <w:cnfStyle w:val="000000100000" w:firstRow="0" w:lastRow="0" w:firstColumn="0" w:lastColumn="0" w:oddVBand="0" w:evenVBand="0" w:oddHBand="1" w:evenHBand="0" w:firstRowFirstColumn="0" w:firstRowLastColumn="0" w:lastRowFirstColumn="0" w:lastRowLastColumn="0"/>
            </w:pPr>
          </w:p>
        </w:tc>
        <w:tc>
          <w:tcPr>
            <w:tcW w:w="1120" w:type="pct"/>
          </w:tcPr>
          <w:p w:rsidR="00F44A5D" w:rsidRPr="00F44A5D" w:rsidRDefault="00F44A5D" w:rsidP="00A65B82">
            <w:pPr>
              <w:cnfStyle w:val="000000100000" w:firstRow="0" w:lastRow="0" w:firstColumn="0" w:lastColumn="0" w:oddVBand="0" w:evenVBand="0" w:oddHBand="1" w:evenHBand="0" w:firstRowFirstColumn="0" w:firstRowLastColumn="0" w:lastRowFirstColumn="0" w:lastRowLastColumn="0"/>
              <w:rPr>
                <w:sz w:val="20"/>
                <w:szCs w:val="20"/>
              </w:rPr>
            </w:pPr>
            <w:r w:rsidRPr="00F44A5D">
              <w:rPr>
                <w:sz w:val="20"/>
                <w:szCs w:val="20"/>
              </w:rPr>
              <w:t>Academic Coaching-313</w:t>
            </w:r>
          </w:p>
          <w:p w:rsidR="00F44A5D" w:rsidRPr="00F44A5D" w:rsidRDefault="00F44A5D" w:rsidP="00D1797F">
            <w:pPr>
              <w:cnfStyle w:val="000000100000" w:firstRow="0" w:lastRow="0" w:firstColumn="0" w:lastColumn="0" w:oddVBand="0" w:evenVBand="0" w:oddHBand="1" w:evenHBand="0" w:firstRowFirstColumn="0" w:firstRowLastColumn="0" w:lastRowFirstColumn="0" w:lastRowLastColumn="0"/>
              <w:rPr>
                <w:sz w:val="20"/>
                <w:szCs w:val="20"/>
              </w:rPr>
            </w:pPr>
            <w:r w:rsidRPr="00F44A5D">
              <w:rPr>
                <w:sz w:val="20"/>
                <w:szCs w:val="20"/>
              </w:rPr>
              <w:t>Coaching+Early Alert-10</w:t>
            </w:r>
          </w:p>
          <w:p w:rsidR="00F44A5D" w:rsidRPr="00F44A5D" w:rsidRDefault="00F44A5D" w:rsidP="00D1797F">
            <w:pPr>
              <w:cnfStyle w:val="000000100000" w:firstRow="0" w:lastRow="0" w:firstColumn="0" w:lastColumn="0" w:oddVBand="0" w:evenVBand="0" w:oddHBand="1" w:evenHBand="0" w:firstRowFirstColumn="0" w:firstRowLastColumn="0" w:lastRowFirstColumn="0" w:lastRowLastColumn="0"/>
              <w:rPr>
                <w:sz w:val="20"/>
                <w:szCs w:val="20"/>
              </w:rPr>
            </w:pPr>
            <w:r w:rsidRPr="00F44A5D">
              <w:rPr>
                <w:sz w:val="20"/>
                <w:szCs w:val="20"/>
              </w:rPr>
              <w:t>Coaching+Tutoring-92</w:t>
            </w:r>
          </w:p>
          <w:p w:rsidR="00F44A5D" w:rsidRPr="00F44A5D" w:rsidRDefault="00F44A5D" w:rsidP="00D1797F">
            <w:pPr>
              <w:cnfStyle w:val="000000100000" w:firstRow="0" w:lastRow="0" w:firstColumn="0" w:lastColumn="0" w:oddVBand="0" w:evenVBand="0" w:oddHBand="1" w:evenHBand="0" w:firstRowFirstColumn="0" w:firstRowLastColumn="0" w:lastRowFirstColumn="0" w:lastRowLastColumn="0"/>
              <w:rPr>
                <w:sz w:val="20"/>
                <w:szCs w:val="20"/>
              </w:rPr>
            </w:pPr>
            <w:r w:rsidRPr="00F44A5D">
              <w:rPr>
                <w:sz w:val="20"/>
                <w:szCs w:val="20"/>
              </w:rPr>
              <w:t>Early Alert-13</w:t>
            </w:r>
          </w:p>
          <w:p w:rsidR="00F44A5D" w:rsidRPr="00F44A5D" w:rsidRDefault="00F44A5D" w:rsidP="00D1797F">
            <w:pPr>
              <w:cnfStyle w:val="000000100000" w:firstRow="0" w:lastRow="0" w:firstColumn="0" w:lastColumn="0" w:oddVBand="0" w:evenVBand="0" w:oddHBand="1" w:evenHBand="0" w:firstRowFirstColumn="0" w:firstRowLastColumn="0" w:lastRowFirstColumn="0" w:lastRowLastColumn="0"/>
              <w:rPr>
                <w:sz w:val="20"/>
                <w:szCs w:val="20"/>
              </w:rPr>
            </w:pPr>
            <w:r w:rsidRPr="00F44A5D">
              <w:rPr>
                <w:sz w:val="20"/>
                <w:szCs w:val="20"/>
              </w:rPr>
              <w:t>Early Alert+Tutoring-5</w:t>
            </w:r>
          </w:p>
          <w:p w:rsidR="00F44A5D" w:rsidRPr="00F44A5D" w:rsidRDefault="00F44A5D" w:rsidP="00D1797F">
            <w:pPr>
              <w:cnfStyle w:val="000000100000" w:firstRow="0" w:lastRow="0" w:firstColumn="0" w:lastColumn="0" w:oddVBand="0" w:evenVBand="0" w:oddHBand="1" w:evenHBand="0" w:firstRowFirstColumn="0" w:firstRowLastColumn="0" w:lastRowFirstColumn="0" w:lastRowLastColumn="0"/>
              <w:rPr>
                <w:sz w:val="20"/>
                <w:szCs w:val="20"/>
              </w:rPr>
            </w:pPr>
            <w:r w:rsidRPr="00F44A5D">
              <w:rPr>
                <w:sz w:val="20"/>
                <w:szCs w:val="20"/>
              </w:rPr>
              <w:t>Tutoring-683</w:t>
            </w:r>
          </w:p>
        </w:tc>
        <w:tc>
          <w:tcPr>
            <w:tcW w:w="861" w:type="pct"/>
          </w:tcPr>
          <w:p w:rsidR="00F44A5D" w:rsidRPr="00D1797F" w:rsidRDefault="00F44A5D" w:rsidP="00D1797F">
            <w:pPr>
              <w:cnfStyle w:val="000000100000" w:firstRow="0" w:lastRow="0" w:firstColumn="0" w:lastColumn="0" w:oddVBand="0" w:evenVBand="0" w:oddHBand="1" w:evenHBand="0" w:firstRowFirstColumn="0" w:firstRowLastColumn="0" w:lastRowFirstColumn="0" w:lastRowLastColumn="0"/>
            </w:pPr>
            <w:r w:rsidRPr="00D1797F">
              <w:t>+.79</w:t>
            </w:r>
          </w:p>
        </w:tc>
        <w:tc>
          <w:tcPr>
            <w:tcW w:w="559" w:type="pct"/>
          </w:tcPr>
          <w:p w:rsidR="00F44A5D" w:rsidRPr="00D1797F" w:rsidRDefault="00F44A5D" w:rsidP="00D1797F">
            <w:pPr>
              <w:cnfStyle w:val="000000100000" w:firstRow="0" w:lastRow="0" w:firstColumn="0" w:lastColumn="0" w:oddVBand="0" w:evenVBand="0" w:oddHBand="1" w:evenHBand="0" w:firstRowFirstColumn="0" w:firstRowLastColumn="0" w:lastRowFirstColumn="0" w:lastRowLastColumn="0"/>
            </w:pPr>
            <w:r w:rsidRPr="00D1797F">
              <w:t>11.23</w:t>
            </w:r>
          </w:p>
        </w:tc>
        <w:tc>
          <w:tcPr>
            <w:tcW w:w="302" w:type="pct"/>
          </w:tcPr>
          <w:p w:rsidR="00F44A5D" w:rsidRPr="00B12EAF" w:rsidRDefault="00F44A5D" w:rsidP="00A65B82">
            <w:pPr>
              <w:cnfStyle w:val="000000100000" w:firstRow="0" w:lastRow="0" w:firstColumn="0" w:lastColumn="0" w:oddVBand="0" w:evenVBand="0" w:oddHBand="1" w:evenHBand="0" w:firstRowFirstColumn="0" w:firstRowLastColumn="0" w:lastRowFirstColumn="0" w:lastRowLastColumn="0"/>
              <w:rPr>
                <w:sz w:val="32"/>
                <w:szCs w:val="32"/>
              </w:rPr>
            </w:pPr>
          </w:p>
        </w:tc>
        <w:tc>
          <w:tcPr>
            <w:tcW w:w="343" w:type="pct"/>
          </w:tcPr>
          <w:p w:rsidR="00F44A5D" w:rsidRPr="00B12EAF" w:rsidRDefault="00F44A5D" w:rsidP="00A65B82">
            <w:pPr>
              <w:cnfStyle w:val="000000100000" w:firstRow="0" w:lastRow="0" w:firstColumn="0" w:lastColumn="0" w:oddVBand="0" w:evenVBand="0" w:oddHBand="1" w:evenHBand="0" w:firstRowFirstColumn="0" w:firstRowLastColumn="0" w:lastRowFirstColumn="0" w:lastRowLastColumn="0"/>
              <w:rPr>
                <w:sz w:val="32"/>
                <w:szCs w:val="32"/>
              </w:rPr>
            </w:pPr>
          </w:p>
        </w:tc>
      </w:tr>
      <w:tr w:rsidR="00805457" w:rsidRPr="00D1797F" w:rsidTr="00805457">
        <w:tc>
          <w:tcPr>
            <w:cnfStyle w:val="001000000000" w:firstRow="0" w:lastRow="0" w:firstColumn="1" w:lastColumn="0" w:oddVBand="0" w:evenVBand="0" w:oddHBand="0" w:evenHBand="0" w:firstRowFirstColumn="0" w:firstRowLastColumn="0" w:lastRowFirstColumn="0" w:lastRowLastColumn="0"/>
            <w:tcW w:w="697" w:type="pct"/>
          </w:tcPr>
          <w:p w:rsidR="007812A8" w:rsidRPr="00D1797F" w:rsidRDefault="007812A8" w:rsidP="00D1797F">
            <w:r w:rsidRPr="00D1797F">
              <w:t>Spring, 2014</w:t>
            </w:r>
          </w:p>
          <w:p w:rsidR="007812A8" w:rsidRPr="00D1797F" w:rsidRDefault="007812A8" w:rsidP="00D1797F"/>
        </w:tc>
        <w:tc>
          <w:tcPr>
            <w:tcW w:w="1118" w:type="pct"/>
          </w:tcPr>
          <w:p w:rsidR="007812A8" w:rsidRPr="00D1797F" w:rsidRDefault="007812A8" w:rsidP="00D1797F">
            <w:pPr>
              <w:cnfStyle w:val="000000000000" w:firstRow="0" w:lastRow="0" w:firstColumn="0" w:lastColumn="0" w:oddVBand="0" w:evenVBand="0" w:oddHBand="0" w:evenHBand="0" w:firstRowFirstColumn="0" w:firstRowLastColumn="0" w:lastRowFirstColumn="0" w:lastRowLastColumn="0"/>
            </w:pPr>
            <w:r w:rsidRPr="00D1797F">
              <w:t>961</w:t>
            </w:r>
            <w:r w:rsidR="00E57483">
              <w:t xml:space="preserve"> </w:t>
            </w:r>
          </w:p>
        </w:tc>
        <w:tc>
          <w:tcPr>
            <w:tcW w:w="1120" w:type="pct"/>
          </w:tcPr>
          <w:p w:rsidR="007812A8" w:rsidRPr="00B12EAF" w:rsidRDefault="007812A8" w:rsidP="00B12EAF">
            <w:pPr>
              <w:jc w:val="center"/>
              <w:cnfStyle w:val="000000000000" w:firstRow="0" w:lastRow="0" w:firstColumn="0" w:lastColumn="0" w:oddVBand="0" w:evenVBand="0" w:oddHBand="0" w:evenHBand="0" w:firstRowFirstColumn="0" w:firstRowLastColumn="0" w:lastRowFirstColumn="0" w:lastRowLastColumn="0"/>
              <w:rPr>
                <w:sz w:val="32"/>
                <w:szCs w:val="32"/>
              </w:rPr>
            </w:pPr>
          </w:p>
        </w:tc>
        <w:tc>
          <w:tcPr>
            <w:tcW w:w="861" w:type="pct"/>
          </w:tcPr>
          <w:p w:rsidR="007812A8" w:rsidRPr="00D1797F" w:rsidRDefault="007812A8" w:rsidP="00D1797F">
            <w:pPr>
              <w:cnfStyle w:val="000000000000" w:firstRow="0" w:lastRow="0" w:firstColumn="0" w:lastColumn="0" w:oddVBand="0" w:evenVBand="0" w:oddHBand="0" w:evenHBand="0" w:firstRowFirstColumn="0" w:firstRowLastColumn="0" w:lastRowFirstColumn="0" w:lastRowLastColumn="0"/>
            </w:pPr>
            <w:r w:rsidRPr="00D1797F">
              <w:t>+.84</w:t>
            </w:r>
          </w:p>
        </w:tc>
        <w:tc>
          <w:tcPr>
            <w:tcW w:w="559" w:type="pct"/>
          </w:tcPr>
          <w:p w:rsidR="007812A8" w:rsidRPr="00D1797F" w:rsidRDefault="007812A8" w:rsidP="00D1797F">
            <w:pPr>
              <w:cnfStyle w:val="000000000000" w:firstRow="0" w:lastRow="0" w:firstColumn="0" w:lastColumn="0" w:oddVBand="0" w:evenVBand="0" w:oddHBand="0" w:evenHBand="0" w:firstRowFirstColumn="0" w:firstRowLastColumn="0" w:lastRowFirstColumn="0" w:lastRowLastColumn="0"/>
            </w:pPr>
            <w:r w:rsidRPr="00D1797F">
              <w:t>23.31</w:t>
            </w:r>
          </w:p>
        </w:tc>
        <w:tc>
          <w:tcPr>
            <w:tcW w:w="302" w:type="pct"/>
          </w:tcPr>
          <w:p w:rsidR="007812A8" w:rsidRDefault="007812A8" w:rsidP="00A65B82">
            <w:pPr>
              <w:cnfStyle w:val="000000000000" w:firstRow="0" w:lastRow="0" w:firstColumn="0" w:lastColumn="0" w:oddVBand="0" w:evenVBand="0" w:oddHBand="0" w:evenHBand="0" w:firstRowFirstColumn="0" w:firstRowLastColumn="0" w:lastRowFirstColumn="0" w:lastRowLastColumn="0"/>
            </w:pPr>
            <w:r w:rsidRPr="00D1797F">
              <w:t>88%</w:t>
            </w:r>
          </w:p>
          <w:p w:rsidR="007812A8" w:rsidRPr="00D1797F" w:rsidRDefault="007812A8" w:rsidP="00A65B82">
            <w:pPr>
              <w:cnfStyle w:val="000000000000" w:firstRow="0" w:lastRow="0" w:firstColumn="0" w:lastColumn="0" w:oddVBand="0" w:evenVBand="0" w:oddHBand="0" w:evenHBand="0" w:firstRowFirstColumn="0" w:firstRowLastColumn="0" w:lastRowFirstColumn="0" w:lastRowLastColumn="0"/>
            </w:pPr>
          </w:p>
        </w:tc>
        <w:tc>
          <w:tcPr>
            <w:tcW w:w="343" w:type="pct"/>
          </w:tcPr>
          <w:p w:rsidR="007812A8" w:rsidRPr="00D1797F" w:rsidRDefault="007812A8" w:rsidP="00A65B82">
            <w:pPr>
              <w:cnfStyle w:val="000000000000" w:firstRow="0" w:lastRow="0" w:firstColumn="0" w:lastColumn="0" w:oddVBand="0" w:evenVBand="0" w:oddHBand="0" w:evenHBand="0" w:firstRowFirstColumn="0" w:firstRowLastColumn="0" w:lastRowFirstColumn="0" w:lastRowLastColumn="0"/>
            </w:pPr>
            <w:r w:rsidRPr="00D1797F">
              <w:t>980</w:t>
            </w:r>
          </w:p>
        </w:tc>
      </w:tr>
      <w:tr w:rsidR="00805457" w:rsidRPr="00D1797F" w:rsidTr="0080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pct"/>
          </w:tcPr>
          <w:p w:rsidR="007812A8" w:rsidRPr="00D1797F" w:rsidRDefault="007812A8" w:rsidP="00D1797F">
            <w:r>
              <w:t>Fall, 2014</w:t>
            </w:r>
          </w:p>
          <w:p w:rsidR="007812A8" w:rsidRPr="00D1797F" w:rsidRDefault="007812A8" w:rsidP="00D1797F"/>
        </w:tc>
        <w:tc>
          <w:tcPr>
            <w:tcW w:w="1118" w:type="pct"/>
          </w:tcPr>
          <w:p w:rsidR="007812A8" w:rsidRPr="00D1797F" w:rsidRDefault="007812A8" w:rsidP="00D1797F">
            <w:pPr>
              <w:cnfStyle w:val="000000100000" w:firstRow="0" w:lastRow="0" w:firstColumn="0" w:lastColumn="0" w:oddVBand="0" w:evenVBand="0" w:oddHBand="1" w:evenHBand="0" w:firstRowFirstColumn="0" w:firstRowLastColumn="0" w:lastRowFirstColumn="0" w:lastRowLastColumn="0"/>
            </w:pPr>
            <w:r w:rsidRPr="00D1797F">
              <w:t>814</w:t>
            </w:r>
          </w:p>
        </w:tc>
        <w:tc>
          <w:tcPr>
            <w:tcW w:w="1120" w:type="pct"/>
          </w:tcPr>
          <w:p w:rsidR="007812A8" w:rsidRPr="00B12EAF" w:rsidRDefault="007812A8" w:rsidP="00B12EAF">
            <w:pPr>
              <w:jc w:val="center"/>
              <w:cnfStyle w:val="000000100000" w:firstRow="0" w:lastRow="0" w:firstColumn="0" w:lastColumn="0" w:oddVBand="0" w:evenVBand="0" w:oddHBand="1" w:evenHBand="0" w:firstRowFirstColumn="0" w:firstRowLastColumn="0" w:lastRowFirstColumn="0" w:lastRowLastColumn="0"/>
              <w:rPr>
                <w:sz w:val="32"/>
                <w:szCs w:val="32"/>
              </w:rPr>
            </w:pPr>
          </w:p>
        </w:tc>
        <w:tc>
          <w:tcPr>
            <w:tcW w:w="861" w:type="pct"/>
          </w:tcPr>
          <w:p w:rsidR="007812A8" w:rsidRPr="00D1797F" w:rsidRDefault="007812A8" w:rsidP="00D1797F">
            <w:pPr>
              <w:cnfStyle w:val="000000100000" w:firstRow="0" w:lastRow="0" w:firstColumn="0" w:lastColumn="0" w:oddVBand="0" w:evenVBand="0" w:oddHBand="1" w:evenHBand="0" w:firstRowFirstColumn="0" w:firstRowLastColumn="0" w:lastRowFirstColumn="0" w:lastRowLastColumn="0"/>
            </w:pPr>
            <w:r w:rsidRPr="00D1797F">
              <w:t>+.96</w:t>
            </w:r>
          </w:p>
        </w:tc>
        <w:tc>
          <w:tcPr>
            <w:tcW w:w="559" w:type="pct"/>
          </w:tcPr>
          <w:p w:rsidR="007812A8" w:rsidRPr="00D1797F" w:rsidRDefault="007812A8" w:rsidP="00D1797F">
            <w:pPr>
              <w:cnfStyle w:val="000000100000" w:firstRow="0" w:lastRow="0" w:firstColumn="0" w:lastColumn="0" w:oddVBand="0" w:evenVBand="0" w:oddHBand="1" w:evenHBand="0" w:firstRowFirstColumn="0" w:firstRowLastColumn="0" w:lastRowFirstColumn="0" w:lastRowLastColumn="0"/>
            </w:pPr>
            <w:r w:rsidRPr="00D1797F">
              <w:t>36.15</w:t>
            </w:r>
          </w:p>
        </w:tc>
        <w:tc>
          <w:tcPr>
            <w:tcW w:w="302" w:type="pct"/>
          </w:tcPr>
          <w:p w:rsidR="007812A8" w:rsidRPr="00D1797F" w:rsidRDefault="007812A8" w:rsidP="00A65B82">
            <w:pPr>
              <w:cnfStyle w:val="000000100000" w:firstRow="0" w:lastRow="0" w:firstColumn="0" w:lastColumn="0" w:oddVBand="0" w:evenVBand="0" w:oddHBand="1" w:evenHBand="0" w:firstRowFirstColumn="0" w:firstRowLastColumn="0" w:lastRowFirstColumn="0" w:lastRowLastColumn="0"/>
            </w:pPr>
            <w:r w:rsidRPr="00D1797F">
              <w:t>75%</w:t>
            </w:r>
          </w:p>
        </w:tc>
        <w:tc>
          <w:tcPr>
            <w:tcW w:w="343" w:type="pct"/>
          </w:tcPr>
          <w:p w:rsidR="007812A8" w:rsidRPr="00D1797F" w:rsidRDefault="007812A8" w:rsidP="00A65B82">
            <w:pPr>
              <w:cnfStyle w:val="000000100000" w:firstRow="0" w:lastRow="0" w:firstColumn="0" w:lastColumn="0" w:oddVBand="0" w:evenVBand="0" w:oddHBand="1" w:evenHBand="0" w:firstRowFirstColumn="0" w:firstRowLastColumn="0" w:lastRowFirstColumn="0" w:lastRowLastColumn="0"/>
            </w:pPr>
            <w:r w:rsidRPr="00D1797F">
              <w:t>832</w:t>
            </w:r>
          </w:p>
        </w:tc>
      </w:tr>
      <w:tr w:rsidR="00805457" w:rsidRPr="00D1797F" w:rsidTr="00805457">
        <w:trPr>
          <w:trHeight w:val="305"/>
        </w:trPr>
        <w:tc>
          <w:tcPr>
            <w:cnfStyle w:val="001000000000" w:firstRow="0" w:lastRow="0" w:firstColumn="1" w:lastColumn="0" w:oddVBand="0" w:evenVBand="0" w:oddHBand="0" w:evenHBand="0" w:firstRowFirstColumn="0" w:firstRowLastColumn="0" w:lastRowFirstColumn="0" w:lastRowLastColumn="0"/>
            <w:tcW w:w="697" w:type="pct"/>
          </w:tcPr>
          <w:p w:rsidR="007812A8" w:rsidRPr="00D1797F" w:rsidRDefault="007812A8" w:rsidP="00D1797F">
            <w:r w:rsidRPr="00D1797F">
              <w:t>Spring, 2015</w:t>
            </w:r>
          </w:p>
          <w:p w:rsidR="007812A8" w:rsidRPr="00D1797F" w:rsidRDefault="007812A8" w:rsidP="00D1797F"/>
        </w:tc>
        <w:tc>
          <w:tcPr>
            <w:tcW w:w="1118" w:type="pct"/>
          </w:tcPr>
          <w:p w:rsidR="007812A8" w:rsidRPr="00D1797F" w:rsidRDefault="007812A8" w:rsidP="00D1797F">
            <w:pPr>
              <w:cnfStyle w:val="000000000000" w:firstRow="0" w:lastRow="0" w:firstColumn="0" w:lastColumn="0" w:oddVBand="0" w:evenVBand="0" w:oddHBand="0" w:evenHBand="0" w:firstRowFirstColumn="0" w:firstRowLastColumn="0" w:lastRowFirstColumn="0" w:lastRowLastColumn="0"/>
            </w:pPr>
            <w:r w:rsidRPr="00D1797F">
              <w:t>750</w:t>
            </w:r>
          </w:p>
        </w:tc>
        <w:tc>
          <w:tcPr>
            <w:tcW w:w="1120" w:type="pct"/>
          </w:tcPr>
          <w:p w:rsidR="007812A8" w:rsidRPr="00B12EAF" w:rsidRDefault="007812A8" w:rsidP="00B12EAF">
            <w:pPr>
              <w:jc w:val="center"/>
              <w:cnfStyle w:val="000000000000" w:firstRow="0" w:lastRow="0" w:firstColumn="0" w:lastColumn="0" w:oddVBand="0" w:evenVBand="0" w:oddHBand="0" w:evenHBand="0" w:firstRowFirstColumn="0" w:firstRowLastColumn="0" w:lastRowFirstColumn="0" w:lastRowLastColumn="0"/>
              <w:rPr>
                <w:sz w:val="32"/>
                <w:szCs w:val="32"/>
              </w:rPr>
            </w:pPr>
          </w:p>
        </w:tc>
        <w:tc>
          <w:tcPr>
            <w:tcW w:w="861" w:type="pct"/>
          </w:tcPr>
          <w:p w:rsidR="007812A8" w:rsidRPr="00D1797F" w:rsidRDefault="007812A8" w:rsidP="00D1797F">
            <w:pPr>
              <w:cnfStyle w:val="000000000000" w:firstRow="0" w:lastRow="0" w:firstColumn="0" w:lastColumn="0" w:oddVBand="0" w:evenVBand="0" w:oddHBand="0" w:evenHBand="0" w:firstRowFirstColumn="0" w:firstRowLastColumn="0" w:lastRowFirstColumn="0" w:lastRowLastColumn="0"/>
            </w:pPr>
            <w:r w:rsidRPr="00D1797F">
              <w:t>NA</w:t>
            </w:r>
          </w:p>
        </w:tc>
        <w:tc>
          <w:tcPr>
            <w:tcW w:w="559" w:type="pct"/>
          </w:tcPr>
          <w:p w:rsidR="007812A8" w:rsidRPr="00D1797F" w:rsidRDefault="007812A8" w:rsidP="00D1797F">
            <w:pPr>
              <w:cnfStyle w:val="000000000000" w:firstRow="0" w:lastRow="0" w:firstColumn="0" w:lastColumn="0" w:oddVBand="0" w:evenVBand="0" w:oddHBand="0" w:evenHBand="0" w:firstRowFirstColumn="0" w:firstRowLastColumn="0" w:lastRowFirstColumn="0" w:lastRowLastColumn="0"/>
            </w:pPr>
            <w:r w:rsidRPr="00D1797F">
              <w:t>NA</w:t>
            </w:r>
          </w:p>
        </w:tc>
        <w:tc>
          <w:tcPr>
            <w:tcW w:w="302" w:type="pct"/>
          </w:tcPr>
          <w:p w:rsidR="007812A8" w:rsidRPr="00D1797F" w:rsidRDefault="007812A8" w:rsidP="00A65B82">
            <w:pPr>
              <w:cnfStyle w:val="000000000000" w:firstRow="0" w:lastRow="0" w:firstColumn="0" w:lastColumn="0" w:oddVBand="0" w:evenVBand="0" w:oddHBand="0" w:evenHBand="0" w:firstRowFirstColumn="0" w:firstRowLastColumn="0" w:lastRowFirstColumn="0" w:lastRowLastColumn="0"/>
            </w:pPr>
            <w:r w:rsidRPr="00D1797F">
              <w:t>68%</w:t>
            </w:r>
          </w:p>
        </w:tc>
        <w:tc>
          <w:tcPr>
            <w:tcW w:w="343" w:type="pct"/>
          </w:tcPr>
          <w:p w:rsidR="007812A8" w:rsidRPr="00D1797F" w:rsidRDefault="007812A8" w:rsidP="00A65B82">
            <w:pPr>
              <w:cnfStyle w:val="000000000000" w:firstRow="0" w:lastRow="0" w:firstColumn="0" w:lastColumn="0" w:oddVBand="0" w:evenVBand="0" w:oddHBand="0" w:evenHBand="0" w:firstRowFirstColumn="0" w:firstRowLastColumn="0" w:lastRowFirstColumn="0" w:lastRowLastColumn="0"/>
            </w:pPr>
            <w:r w:rsidRPr="00D1797F">
              <w:t>756</w:t>
            </w:r>
          </w:p>
        </w:tc>
      </w:tr>
    </w:tbl>
    <w:p w:rsidR="00D47254" w:rsidRDefault="00B12EAF" w:rsidP="00D1797F">
      <w:r>
        <w:t>Discussion:</w:t>
      </w:r>
      <w:r w:rsidR="00D71BBA">
        <w:t xml:space="preserve">  In general te</w:t>
      </w:r>
      <w:r w:rsidR="00EE7894">
        <w:t>rms,</w:t>
      </w:r>
      <w:r w:rsidR="00E57483">
        <w:t xml:space="preserve"> students who participated in TLC services improved their</w:t>
      </w:r>
      <w:r w:rsidR="00D71BBA">
        <w:t xml:space="preserve"> academic performance as measured by students’ semester to semester grades.  This effect </w:t>
      </w:r>
      <w:r w:rsidR="00F44A5D">
        <w:t>seems</w:t>
      </w:r>
      <w:r w:rsidR="00B54D91">
        <w:t xml:space="preserve"> to increase over time from</w:t>
      </w:r>
      <w:r w:rsidR="00D71BBA">
        <w:t xml:space="preserve"> the initial participation. Students who were retained from the original cohort were also </w:t>
      </w:r>
      <w:r w:rsidR="00B54D91">
        <w:t xml:space="preserve">able to successfully increase their earned </w:t>
      </w:r>
      <w:r w:rsidR="00D71BBA">
        <w:t>credit hours.  Although the</w:t>
      </w:r>
      <w:r w:rsidR="007812A8">
        <w:t xml:space="preserve"> average</w:t>
      </w:r>
      <w:r w:rsidR="00D71BBA">
        <w:t xml:space="preserve"> accumulation appears to increase over time, it does not reach the 15 cred</w:t>
      </w:r>
      <w:r w:rsidR="007812A8">
        <w:t xml:space="preserve">it hours students need </w:t>
      </w:r>
      <w:r w:rsidR="00D71BBA">
        <w:t xml:space="preserve">for more timely graduation. </w:t>
      </w:r>
      <w:r w:rsidR="00D36C1C">
        <w:t xml:space="preserve"> </w:t>
      </w:r>
      <w:r w:rsidR="00070121">
        <w:t xml:space="preserve">See the next page for </w:t>
      </w:r>
      <w:r w:rsidR="00D47254">
        <w:t xml:space="preserve">a glimpse of the level to which we can drill down to examine more complex relationships between TLC services and other indicators of academic success. </w:t>
      </w:r>
      <w:r w:rsidR="00F50A57">
        <w:t xml:space="preserve"> A full discussion of the findings is forthcoming. </w:t>
      </w:r>
    </w:p>
    <w:p w:rsidR="00805457" w:rsidRDefault="00805CEA" w:rsidP="00D1797F">
      <w:r>
        <w:lastRenderedPageBreak/>
        <w:t>Some of t</w:t>
      </w:r>
      <w:r w:rsidR="00805457">
        <w:t>he question</w:t>
      </w:r>
      <w:r w:rsidR="00D47254">
        <w:t>s</w:t>
      </w:r>
      <w:r>
        <w:t xml:space="preserve"> addressed by this small slice of our available data</w:t>
      </w:r>
      <w:r w:rsidR="00D47254">
        <w:t>: Does the number of visits</w:t>
      </w:r>
      <w:r w:rsidR="00805457">
        <w:t xml:space="preserve"> student</w:t>
      </w:r>
      <w:r w:rsidR="00D47254">
        <w:t>s make</w:t>
      </w:r>
      <w:r w:rsidR="00805457">
        <w:t xml:space="preserve"> to TLC have any effect on their GPA?  Does the effect di</w:t>
      </w:r>
      <w:r w:rsidR="00070121">
        <w:t xml:space="preserve">ffer based on the service? Is there any effect over time? </w:t>
      </w:r>
      <w:r w:rsidR="00805457">
        <w:t xml:space="preserve"> </w:t>
      </w:r>
    </w:p>
    <w:p w:rsidR="00B12EAF" w:rsidRDefault="00637A80" w:rsidP="00D1797F">
      <w:r w:rsidRPr="00637A80">
        <w:rPr>
          <w:noProof/>
        </w:rPr>
        <w:t xml:space="preserve"> </w:t>
      </w:r>
      <w:r>
        <w:rPr>
          <w:noProof/>
        </w:rPr>
        <w:drawing>
          <wp:inline distT="0" distB="0" distL="0" distR="0" wp14:anchorId="173A616C" wp14:editId="72F602AD">
            <wp:extent cx="3476625" cy="2352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76625" cy="2352675"/>
                    </a:xfrm>
                    <a:prstGeom prst="rect">
                      <a:avLst/>
                    </a:prstGeom>
                  </pic:spPr>
                </pic:pic>
              </a:graphicData>
            </a:graphic>
          </wp:inline>
        </w:drawing>
      </w:r>
    </w:p>
    <w:p w:rsidR="00637A80" w:rsidRDefault="00637A80" w:rsidP="00D1797F">
      <w:r>
        <w:rPr>
          <w:noProof/>
        </w:rPr>
        <w:drawing>
          <wp:inline distT="0" distB="0" distL="0" distR="0" wp14:anchorId="14DE4EC9" wp14:editId="0C5C9AE3">
            <wp:extent cx="5876925" cy="2324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76925" cy="2324100"/>
                    </a:xfrm>
                    <a:prstGeom prst="rect">
                      <a:avLst/>
                    </a:prstGeom>
                  </pic:spPr>
                </pic:pic>
              </a:graphicData>
            </a:graphic>
          </wp:inline>
        </w:drawing>
      </w:r>
    </w:p>
    <w:p w:rsidR="00F77F80" w:rsidRPr="00873EBD" w:rsidRDefault="00637A80" w:rsidP="00070121">
      <w:r>
        <w:rPr>
          <w:noProof/>
        </w:rPr>
        <w:drawing>
          <wp:inline distT="0" distB="0" distL="0" distR="0" wp14:anchorId="0B3273E3" wp14:editId="3F1C0924">
            <wp:extent cx="5114925" cy="3314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14925" cy="3314700"/>
                    </a:xfrm>
                    <a:prstGeom prst="rect">
                      <a:avLst/>
                    </a:prstGeom>
                  </pic:spPr>
                </pic:pic>
              </a:graphicData>
            </a:graphic>
          </wp:inline>
        </w:drawing>
      </w:r>
    </w:p>
    <w:p w:rsidR="002620DD" w:rsidRDefault="002620DD" w:rsidP="00B725F2">
      <w:pPr>
        <w:pStyle w:val="ListParagraph"/>
        <w:numPr>
          <w:ilvl w:val="0"/>
          <w:numId w:val="6"/>
        </w:numPr>
        <w:spacing w:before="100" w:beforeAutospacing="1" w:after="100" w:afterAutospacing="1" w:line="240" w:lineRule="auto"/>
        <w:rPr>
          <w:b/>
          <w:bCs/>
          <w:iCs/>
        </w:rPr>
      </w:pPr>
      <w:r w:rsidRPr="002620DD">
        <w:rPr>
          <w:b/>
          <w:bCs/>
          <w:iCs/>
        </w:rPr>
        <w:lastRenderedPageBreak/>
        <w:t>Planning for 2015-16</w:t>
      </w:r>
    </w:p>
    <w:p w:rsidR="00873EBD" w:rsidRPr="00B725F2" w:rsidRDefault="00873EBD" w:rsidP="00873EBD">
      <w:pPr>
        <w:pStyle w:val="ListParagraph"/>
        <w:spacing w:before="100" w:beforeAutospacing="1" w:after="100" w:afterAutospacing="1" w:line="240" w:lineRule="auto"/>
        <w:ind w:left="1080"/>
        <w:rPr>
          <w:b/>
          <w:bCs/>
          <w:iCs/>
        </w:rPr>
      </w:pPr>
    </w:p>
    <w:p w:rsidR="002620DD" w:rsidRDefault="002620DD" w:rsidP="002620DD">
      <w:pPr>
        <w:pStyle w:val="ListParagraph"/>
        <w:numPr>
          <w:ilvl w:val="0"/>
          <w:numId w:val="26"/>
        </w:numPr>
        <w:spacing w:before="100" w:beforeAutospacing="1" w:after="100" w:afterAutospacing="1" w:line="240" w:lineRule="auto"/>
        <w:jc w:val="center"/>
        <w:rPr>
          <w:b/>
          <w:bCs/>
          <w:iCs/>
        </w:rPr>
      </w:pPr>
      <w:r>
        <w:rPr>
          <w:b/>
          <w:bCs/>
          <w:iCs/>
        </w:rPr>
        <w:t>Goals</w:t>
      </w:r>
    </w:p>
    <w:p w:rsidR="00873EBD" w:rsidRDefault="00873EBD" w:rsidP="00873EBD">
      <w:pPr>
        <w:pStyle w:val="ListParagraph"/>
        <w:spacing w:before="100" w:beforeAutospacing="1" w:after="100" w:afterAutospacing="1" w:line="240" w:lineRule="auto"/>
        <w:rPr>
          <w:b/>
          <w:bCs/>
          <w:iCs/>
        </w:rPr>
      </w:pPr>
    </w:p>
    <w:p w:rsidR="00873EBD" w:rsidRDefault="00873EBD" w:rsidP="00873EBD">
      <w:pPr>
        <w:pStyle w:val="ListParagraph"/>
        <w:numPr>
          <w:ilvl w:val="0"/>
          <w:numId w:val="35"/>
        </w:numPr>
        <w:spacing w:before="100" w:beforeAutospacing="1" w:after="100" w:afterAutospacing="1" w:line="240" w:lineRule="auto"/>
        <w:rPr>
          <w:bCs/>
          <w:iCs/>
        </w:rPr>
      </w:pPr>
      <w:r w:rsidRPr="00873EBD">
        <w:rPr>
          <w:bCs/>
          <w:iCs/>
        </w:rPr>
        <w:t>Transition the Early</w:t>
      </w:r>
      <w:r w:rsidR="00AE1381">
        <w:rPr>
          <w:bCs/>
          <w:iCs/>
        </w:rPr>
        <w:t xml:space="preserve"> Academic Alert first responder responsibility</w:t>
      </w:r>
      <w:r w:rsidRPr="00873EBD">
        <w:rPr>
          <w:bCs/>
          <w:iCs/>
        </w:rPr>
        <w:t xml:space="preserve"> to the</w:t>
      </w:r>
      <w:r w:rsidR="00AE1381">
        <w:rPr>
          <w:bCs/>
          <w:iCs/>
        </w:rPr>
        <w:t xml:space="preserve"> staff of the</w:t>
      </w:r>
      <w:r w:rsidRPr="00873EBD">
        <w:rPr>
          <w:bCs/>
          <w:iCs/>
        </w:rPr>
        <w:t xml:space="preserve"> four school based centers and CACE.</w:t>
      </w:r>
    </w:p>
    <w:p w:rsidR="00AE1381" w:rsidRDefault="00AE1381" w:rsidP="00AE1381">
      <w:pPr>
        <w:pStyle w:val="ListParagraph"/>
        <w:spacing w:before="100" w:beforeAutospacing="1" w:after="100" w:afterAutospacing="1" w:line="240" w:lineRule="auto"/>
        <w:ind w:left="1080"/>
        <w:rPr>
          <w:bCs/>
          <w:iCs/>
        </w:rPr>
      </w:pPr>
    </w:p>
    <w:p w:rsidR="00AE1381" w:rsidRPr="00873EBD" w:rsidRDefault="00AE1381" w:rsidP="00AE1381">
      <w:pPr>
        <w:pStyle w:val="ListParagraph"/>
        <w:spacing w:before="100" w:beforeAutospacing="1" w:after="100" w:afterAutospacing="1" w:line="240" w:lineRule="auto"/>
        <w:ind w:left="1080"/>
        <w:rPr>
          <w:bCs/>
          <w:iCs/>
        </w:rPr>
      </w:pPr>
    </w:p>
    <w:p w:rsidR="00873EBD" w:rsidRDefault="00873EBD" w:rsidP="00873EBD">
      <w:pPr>
        <w:pStyle w:val="ListParagraph"/>
        <w:numPr>
          <w:ilvl w:val="0"/>
          <w:numId w:val="35"/>
        </w:numPr>
        <w:spacing w:before="100" w:beforeAutospacing="1" w:after="100" w:afterAutospacing="1" w:line="240" w:lineRule="auto"/>
        <w:rPr>
          <w:bCs/>
          <w:iCs/>
        </w:rPr>
      </w:pPr>
      <w:r w:rsidRPr="00873EBD">
        <w:rPr>
          <w:bCs/>
          <w:iCs/>
        </w:rPr>
        <w:t xml:space="preserve">Contribute to the implementation of the Banner – Pilot </w:t>
      </w:r>
      <w:r w:rsidR="00AE1381">
        <w:rPr>
          <w:bCs/>
          <w:iCs/>
        </w:rPr>
        <w:t xml:space="preserve">software to increase the automation of the Early Academic Alert process </w:t>
      </w:r>
      <w:r w:rsidRPr="00873EBD">
        <w:rPr>
          <w:bCs/>
          <w:iCs/>
        </w:rPr>
        <w:t>(retention management software).</w:t>
      </w:r>
    </w:p>
    <w:p w:rsidR="00AE1381" w:rsidRPr="00AE1381" w:rsidRDefault="00AE1381" w:rsidP="00AE1381">
      <w:pPr>
        <w:pStyle w:val="ListParagraph"/>
        <w:rPr>
          <w:bCs/>
          <w:iCs/>
        </w:rPr>
      </w:pPr>
    </w:p>
    <w:p w:rsidR="00AE1381" w:rsidRPr="00873EBD" w:rsidRDefault="00AE1381" w:rsidP="00AE1381">
      <w:pPr>
        <w:pStyle w:val="ListParagraph"/>
        <w:spacing w:before="100" w:beforeAutospacing="1" w:after="100" w:afterAutospacing="1" w:line="240" w:lineRule="auto"/>
        <w:ind w:left="1080"/>
        <w:rPr>
          <w:bCs/>
          <w:iCs/>
        </w:rPr>
      </w:pPr>
    </w:p>
    <w:p w:rsidR="002620DD" w:rsidRDefault="00873EBD" w:rsidP="002620DD">
      <w:pPr>
        <w:pStyle w:val="ListParagraph"/>
        <w:numPr>
          <w:ilvl w:val="0"/>
          <w:numId w:val="35"/>
        </w:numPr>
        <w:spacing w:before="100" w:beforeAutospacing="1" w:after="100" w:afterAutospacing="1" w:line="240" w:lineRule="auto"/>
        <w:rPr>
          <w:bCs/>
          <w:iCs/>
        </w:rPr>
      </w:pPr>
      <w:r w:rsidRPr="00873EBD">
        <w:rPr>
          <w:bCs/>
          <w:iCs/>
        </w:rPr>
        <w:t>Complete an in</w:t>
      </w:r>
      <w:r w:rsidR="00B20F93">
        <w:rPr>
          <w:bCs/>
          <w:iCs/>
        </w:rPr>
        <w:t>-</w:t>
      </w:r>
      <w:r w:rsidRPr="00873EBD">
        <w:rPr>
          <w:bCs/>
          <w:iCs/>
        </w:rPr>
        <w:t>depth examination of the relationships between participation in TLC services and other success indicators</w:t>
      </w:r>
      <w:r w:rsidR="00B20F93">
        <w:rPr>
          <w:bCs/>
          <w:iCs/>
        </w:rPr>
        <w:t xml:space="preserve"> using the data prepared by Yvonne Kirby</w:t>
      </w:r>
      <w:r w:rsidRPr="00873EBD">
        <w:rPr>
          <w:bCs/>
          <w:iCs/>
        </w:rPr>
        <w:t xml:space="preserve">. </w:t>
      </w:r>
    </w:p>
    <w:p w:rsidR="00873EBD" w:rsidRDefault="00873EBD" w:rsidP="00873EBD">
      <w:pPr>
        <w:pStyle w:val="ListParagraph"/>
        <w:spacing w:before="100" w:beforeAutospacing="1" w:after="100" w:afterAutospacing="1" w:line="240" w:lineRule="auto"/>
        <w:ind w:left="1080"/>
        <w:rPr>
          <w:bCs/>
          <w:iCs/>
        </w:rPr>
      </w:pPr>
    </w:p>
    <w:p w:rsidR="00873EBD" w:rsidRPr="00873EBD" w:rsidRDefault="00873EBD" w:rsidP="00873EBD">
      <w:pPr>
        <w:pStyle w:val="ListParagraph"/>
        <w:spacing w:before="100" w:beforeAutospacing="1" w:after="100" w:afterAutospacing="1" w:line="240" w:lineRule="auto"/>
        <w:ind w:left="1080"/>
        <w:rPr>
          <w:bCs/>
          <w:iCs/>
        </w:rPr>
      </w:pPr>
    </w:p>
    <w:p w:rsidR="002620DD" w:rsidRDefault="002620DD" w:rsidP="002620DD">
      <w:pPr>
        <w:pStyle w:val="ListParagraph"/>
        <w:numPr>
          <w:ilvl w:val="0"/>
          <w:numId w:val="26"/>
        </w:numPr>
        <w:spacing w:before="100" w:beforeAutospacing="1" w:after="100" w:afterAutospacing="1" w:line="240" w:lineRule="auto"/>
        <w:jc w:val="center"/>
        <w:rPr>
          <w:b/>
          <w:bCs/>
          <w:iCs/>
        </w:rPr>
      </w:pPr>
      <w:r>
        <w:rPr>
          <w:b/>
          <w:bCs/>
          <w:iCs/>
        </w:rPr>
        <w:t>Needs</w:t>
      </w:r>
    </w:p>
    <w:p w:rsidR="002620DD" w:rsidRPr="00873EBD" w:rsidRDefault="00873EBD" w:rsidP="00612B11">
      <w:pPr>
        <w:spacing w:before="100" w:beforeAutospacing="1" w:after="100" w:afterAutospacing="1" w:line="240" w:lineRule="auto"/>
        <w:contextualSpacing/>
        <w:rPr>
          <w:bCs/>
          <w:iCs/>
        </w:rPr>
      </w:pPr>
      <w:r>
        <w:rPr>
          <w:bCs/>
          <w:iCs/>
        </w:rPr>
        <w:t xml:space="preserve">The Learning Center continues to need a stable, sustained, and sufficient budget allocation to the base budget (ESS002). </w:t>
      </w:r>
    </w:p>
    <w:p w:rsidR="00AC15CB" w:rsidRDefault="00AC15CB" w:rsidP="00612B11">
      <w:pPr>
        <w:keepNext/>
        <w:keepLines/>
        <w:spacing w:before="100" w:beforeAutospacing="1" w:after="100" w:afterAutospacing="1" w:line="240" w:lineRule="auto"/>
        <w:contextualSpacing/>
        <w:outlineLvl w:val="1"/>
        <w:rPr>
          <w:b/>
          <w:bCs/>
          <w:i/>
          <w:iCs/>
        </w:rPr>
      </w:pPr>
    </w:p>
    <w:p w:rsidR="00F44357" w:rsidRDefault="00F44357" w:rsidP="00612B11">
      <w:pPr>
        <w:keepNext/>
        <w:keepLines/>
        <w:spacing w:before="100" w:beforeAutospacing="1" w:after="100" w:afterAutospacing="1" w:line="240" w:lineRule="auto"/>
        <w:contextualSpacing/>
        <w:outlineLvl w:val="1"/>
        <w:rPr>
          <w:rFonts w:asciiTheme="majorHAnsi" w:eastAsiaTheme="majorEastAsia" w:hAnsiTheme="majorHAnsi" w:cstheme="majorBidi"/>
          <w:b/>
          <w:bCs/>
          <w:color w:val="4F81BD" w:themeColor="accent1"/>
          <w:sz w:val="26"/>
          <w:szCs w:val="26"/>
        </w:rPr>
      </w:pPr>
    </w:p>
    <w:p w:rsidR="000C2C5F" w:rsidRDefault="000C2C5F" w:rsidP="00612B11">
      <w:pPr>
        <w:spacing w:before="100" w:beforeAutospacing="1" w:after="100" w:afterAutospacing="1" w:line="240" w:lineRule="auto"/>
        <w:contextualSpacing/>
        <w:rPr>
          <w:rFonts w:asciiTheme="majorHAnsi" w:eastAsiaTheme="majorEastAsia" w:hAnsiTheme="majorHAnsi" w:cstheme="majorBidi"/>
          <w:b/>
          <w:bCs/>
          <w:color w:val="4F81BD" w:themeColor="accent1"/>
          <w:sz w:val="26"/>
          <w:szCs w:val="26"/>
        </w:rPr>
      </w:pPr>
    </w:p>
    <w:p w:rsidR="00AC15CB" w:rsidRDefault="00AC15CB" w:rsidP="00612B11">
      <w:pPr>
        <w:spacing w:before="100" w:beforeAutospacing="1" w:after="100" w:afterAutospacing="1" w:line="240" w:lineRule="auto"/>
        <w:contextualSpacing/>
      </w:pPr>
    </w:p>
    <w:sectPr w:rsidR="00AC15CB" w:rsidSect="00002B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1E" w:rsidRDefault="00AD201E" w:rsidP="001D126A">
      <w:pPr>
        <w:spacing w:after="0" w:line="240" w:lineRule="auto"/>
      </w:pPr>
      <w:r>
        <w:separator/>
      </w:r>
    </w:p>
  </w:endnote>
  <w:endnote w:type="continuationSeparator" w:id="0">
    <w:p w:rsidR="00AD201E" w:rsidRDefault="00AD201E" w:rsidP="001D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1E" w:rsidRDefault="00AD201E" w:rsidP="001D126A">
      <w:pPr>
        <w:spacing w:after="0" w:line="240" w:lineRule="auto"/>
      </w:pPr>
      <w:r>
        <w:separator/>
      </w:r>
    </w:p>
  </w:footnote>
  <w:footnote w:type="continuationSeparator" w:id="0">
    <w:p w:rsidR="00AD201E" w:rsidRDefault="00AD201E" w:rsidP="001D1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A3"/>
    <w:multiLevelType w:val="hybridMultilevel"/>
    <w:tmpl w:val="2328F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67D19"/>
    <w:multiLevelType w:val="hybridMultilevel"/>
    <w:tmpl w:val="D6BC966C"/>
    <w:lvl w:ilvl="0" w:tplc="0038E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807AD"/>
    <w:multiLevelType w:val="hybridMultilevel"/>
    <w:tmpl w:val="73948B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946398"/>
    <w:multiLevelType w:val="hybridMultilevel"/>
    <w:tmpl w:val="F05E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E5C31"/>
    <w:multiLevelType w:val="hybridMultilevel"/>
    <w:tmpl w:val="2FB0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A5CE4"/>
    <w:multiLevelType w:val="hybridMultilevel"/>
    <w:tmpl w:val="7F5456C6"/>
    <w:lvl w:ilvl="0" w:tplc="A6F2300A">
      <w:start w:val="3"/>
      <w:numFmt w:val="decimal"/>
      <w:lvlText w:val="%1."/>
      <w:lvlJc w:val="left"/>
      <w:pPr>
        <w:ind w:left="360" w:hanging="360"/>
      </w:pPr>
      <w:rPr>
        <w:rFonts w:hint="default"/>
        <w:b/>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036AA8"/>
    <w:multiLevelType w:val="hybridMultilevel"/>
    <w:tmpl w:val="DA76676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A041DB"/>
    <w:multiLevelType w:val="hybridMultilevel"/>
    <w:tmpl w:val="CF30EE4C"/>
    <w:lvl w:ilvl="0" w:tplc="176A8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F5C67"/>
    <w:multiLevelType w:val="hybridMultilevel"/>
    <w:tmpl w:val="3886CF44"/>
    <w:lvl w:ilvl="0" w:tplc="6F9EA45E">
      <w:numFmt w:val="bullet"/>
      <w:lvlText w:val="-"/>
      <w:lvlJc w:val="left"/>
      <w:pPr>
        <w:ind w:left="720" w:hanging="360"/>
      </w:pPr>
      <w:rPr>
        <w:rFonts w:ascii="Cambria" w:eastAsia="Times New Roman" w:hAnsi="Cambria" w:cstheme="majorBidi"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12946"/>
    <w:multiLevelType w:val="hybridMultilevel"/>
    <w:tmpl w:val="D97888D0"/>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EEB58B9"/>
    <w:multiLevelType w:val="hybridMultilevel"/>
    <w:tmpl w:val="BD4C84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B4687"/>
    <w:multiLevelType w:val="hybridMultilevel"/>
    <w:tmpl w:val="F3EA1A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E1316E"/>
    <w:multiLevelType w:val="hybridMultilevel"/>
    <w:tmpl w:val="0CC0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500F69"/>
    <w:multiLevelType w:val="hybridMultilevel"/>
    <w:tmpl w:val="68ACFD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D3A54"/>
    <w:multiLevelType w:val="hybridMultilevel"/>
    <w:tmpl w:val="D186B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DF30BC"/>
    <w:multiLevelType w:val="hybridMultilevel"/>
    <w:tmpl w:val="B802B3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22F706B"/>
    <w:multiLevelType w:val="hybridMultilevel"/>
    <w:tmpl w:val="12EE7F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BF6A7A"/>
    <w:multiLevelType w:val="hybridMultilevel"/>
    <w:tmpl w:val="557CE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C5074"/>
    <w:multiLevelType w:val="hybridMultilevel"/>
    <w:tmpl w:val="66042C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5435D45"/>
    <w:multiLevelType w:val="hybridMultilevel"/>
    <w:tmpl w:val="CA628BDC"/>
    <w:lvl w:ilvl="0" w:tplc="7878F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7697A"/>
    <w:multiLevelType w:val="hybridMultilevel"/>
    <w:tmpl w:val="0B24C9D6"/>
    <w:lvl w:ilvl="0" w:tplc="86B42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A1523"/>
    <w:multiLevelType w:val="hybridMultilevel"/>
    <w:tmpl w:val="69E4AAE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F815C16"/>
    <w:multiLevelType w:val="hybridMultilevel"/>
    <w:tmpl w:val="05560396"/>
    <w:lvl w:ilvl="0" w:tplc="6322A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70A1C"/>
    <w:multiLevelType w:val="hybridMultilevel"/>
    <w:tmpl w:val="A3801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3154C"/>
    <w:multiLevelType w:val="hybridMultilevel"/>
    <w:tmpl w:val="00C6E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62DC6"/>
    <w:multiLevelType w:val="hybridMultilevel"/>
    <w:tmpl w:val="49C20CA4"/>
    <w:lvl w:ilvl="0" w:tplc="538C85BE">
      <w:start w:val="1"/>
      <w:numFmt w:val="bullet"/>
      <w:lvlText w:val=""/>
      <w:lvlJc w:val="left"/>
      <w:pPr>
        <w:ind w:left="1062" w:hanging="360"/>
      </w:pPr>
      <w:rPr>
        <w:rFonts w:ascii="Symbol" w:hAnsi="Symbol"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nsid w:val="58FA293F"/>
    <w:multiLevelType w:val="hybridMultilevel"/>
    <w:tmpl w:val="1D70D254"/>
    <w:lvl w:ilvl="0" w:tplc="916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4237B"/>
    <w:multiLevelType w:val="hybridMultilevel"/>
    <w:tmpl w:val="C9426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6C44CD3"/>
    <w:multiLevelType w:val="hybridMultilevel"/>
    <w:tmpl w:val="1F76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E16867"/>
    <w:multiLevelType w:val="hybridMultilevel"/>
    <w:tmpl w:val="01A4498E"/>
    <w:lvl w:ilvl="0" w:tplc="5F5A90B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03B4F"/>
    <w:multiLevelType w:val="hybridMultilevel"/>
    <w:tmpl w:val="5DFADB5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8B45792"/>
    <w:multiLevelType w:val="hybridMultilevel"/>
    <w:tmpl w:val="75F4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A6219C"/>
    <w:multiLevelType w:val="hybridMultilevel"/>
    <w:tmpl w:val="FEF4991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6D502A"/>
    <w:multiLevelType w:val="hybridMultilevel"/>
    <w:tmpl w:val="F12E0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A7B17"/>
    <w:multiLevelType w:val="hybridMultilevel"/>
    <w:tmpl w:val="CC78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34"/>
  </w:num>
  <w:num w:numId="4">
    <w:abstractNumId w:val="3"/>
  </w:num>
  <w:num w:numId="5">
    <w:abstractNumId w:val="31"/>
  </w:num>
  <w:num w:numId="6">
    <w:abstractNumId w:val="1"/>
  </w:num>
  <w:num w:numId="7">
    <w:abstractNumId w:val="24"/>
  </w:num>
  <w:num w:numId="8">
    <w:abstractNumId w:val="25"/>
  </w:num>
  <w:num w:numId="9">
    <w:abstractNumId w:val="19"/>
  </w:num>
  <w:num w:numId="10">
    <w:abstractNumId w:val="29"/>
  </w:num>
  <w:num w:numId="11">
    <w:abstractNumId w:val="23"/>
  </w:num>
  <w:num w:numId="12">
    <w:abstractNumId w:val="6"/>
  </w:num>
  <w:num w:numId="13">
    <w:abstractNumId w:val="30"/>
  </w:num>
  <w:num w:numId="14">
    <w:abstractNumId w:val="27"/>
  </w:num>
  <w:num w:numId="15">
    <w:abstractNumId w:val="15"/>
  </w:num>
  <w:num w:numId="16">
    <w:abstractNumId w:val="2"/>
  </w:num>
  <w:num w:numId="17">
    <w:abstractNumId w:val="21"/>
  </w:num>
  <w:num w:numId="18">
    <w:abstractNumId w:val="18"/>
  </w:num>
  <w:num w:numId="19">
    <w:abstractNumId w:val="11"/>
  </w:num>
  <w:num w:numId="20">
    <w:abstractNumId w:val="16"/>
  </w:num>
  <w:num w:numId="21">
    <w:abstractNumId w:val="17"/>
  </w:num>
  <w:num w:numId="22">
    <w:abstractNumId w:val="14"/>
  </w:num>
  <w:num w:numId="23">
    <w:abstractNumId w:val="12"/>
  </w:num>
  <w:num w:numId="24">
    <w:abstractNumId w:val="10"/>
  </w:num>
  <w:num w:numId="25">
    <w:abstractNumId w:val="5"/>
  </w:num>
  <w:num w:numId="26">
    <w:abstractNumId w:val="33"/>
  </w:num>
  <w:num w:numId="27">
    <w:abstractNumId w:val="0"/>
  </w:num>
  <w:num w:numId="28">
    <w:abstractNumId w:val="13"/>
  </w:num>
  <w:num w:numId="29">
    <w:abstractNumId w:val="4"/>
  </w:num>
  <w:num w:numId="30">
    <w:abstractNumId w:val="8"/>
  </w:num>
  <w:num w:numId="31">
    <w:abstractNumId w:val="26"/>
  </w:num>
  <w:num w:numId="32">
    <w:abstractNumId w:val="7"/>
  </w:num>
  <w:num w:numId="33">
    <w:abstractNumId w:val="20"/>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B2"/>
    <w:rsid w:val="00002B99"/>
    <w:rsid w:val="000223B9"/>
    <w:rsid w:val="00034F71"/>
    <w:rsid w:val="00070121"/>
    <w:rsid w:val="000B0E36"/>
    <w:rsid w:val="000C2C5F"/>
    <w:rsid w:val="000D23D0"/>
    <w:rsid w:val="00105FF8"/>
    <w:rsid w:val="00113BA3"/>
    <w:rsid w:val="00117205"/>
    <w:rsid w:val="001319A5"/>
    <w:rsid w:val="00157900"/>
    <w:rsid w:val="0016549A"/>
    <w:rsid w:val="001B05F9"/>
    <w:rsid w:val="001B0654"/>
    <w:rsid w:val="001B6C1A"/>
    <w:rsid w:val="001D126A"/>
    <w:rsid w:val="001D1809"/>
    <w:rsid w:val="001E14A6"/>
    <w:rsid w:val="00237387"/>
    <w:rsid w:val="002620DD"/>
    <w:rsid w:val="00280F2D"/>
    <w:rsid w:val="002974A7"/>
    <w:rsid w:val="002D1170"/>
    <w:rsid w:val="002E3181"/>
    <w:rsid w:val="003806D1"/>
    <w:rsid w:val="00382EB7"/>
    <w:rsid w:val="00396995"/>
    <w:rsid w:val="003B376A"/>
    <w:rsid w:val="00407C3E"/>
    <w:rsid w:val="00421812"/>
    <w:rsid w:val="004F29DB"/>
    <w:rsid w:val="00597235"/>
    <w:rsid w:val="0060227A"/>
    <w:rsid w:val="00612B11"/>
    <w:rsid w:val="00630B0C"/>
    <w:rsid w:val="00637A80"/>
    <w:rsid w:val="006C0ED9"/>
    <w:rsid w:val="006D49E4"/>
    <w:rsid w:val="00702D8C"/>
    <w:rsid w:val="007322B2"/>
    <w:rsid w:val="007812A8"/>
    <w:rsid w:val="007824CE"/>
    <w:rsid w:val="007A1261"/>
    <w:rsid w:val="007C05DF"/>
    <w:rsid w:val="007E0853"/>
    <w:rsid w:val="007E4406"/>
    <w:rsid w:val="00805457"/>
    <w:rsid w:val="00805CEA"/>
    <w:rsid w:val="0083242A"/>
    <w:rsid w:val="008324B6"/>
    <w:rsid w:val="00842A29"/>
    <w:rsid w:val="00870F34"/>
    <w:rsid w:val="00873EBD"/>
    <w:rsid w:val="008D479D"/>
    <w:rsid w:val="009176C1"/>
    <w:rsid w:val="00925CFA"/>
    <w:rsid w:val="00944044"/>
    <w:rsid w:val="009625EB"/>
    <w:rsid w:val="00962F63"/>
    <w:rsid w:val="009A616C"/>
    <w:rsid w:val="009B2155"/>
    <w:rsid w:val="009D1FBD"/>
    <w:rsid w:val="00A15F9F"/>
    <w:rsid w:val="00A46A9E"/>
    <w:rsid w:val="00A52062"/>
    <w:rsid w:val="00A65B82"/>
    <w:rsid w:val="00A70235"/>
    <w:rsid w:val="00A7752E"/>
    <w:rsid w:val="00A810FC"/>
    <w:rsid w:val="00AC15CB"/>
    <w:rsid w:val="00AC2076"/>
    <w:rsid w:val="00AD201E"/>
    <w:rsid w:val="00AE1381"/>
    <w:rsid w:val="00AE4732"/>
    <w:rsid w:val="00B0109E"/>
    <w:rsid w:val="00B12EAF"/>
    <w:rsid w:val="00B20F93"/>
    <w:rsid w:val="00B54D91"/>
    <w:rsid w:val="00B725F2"/>
    <w:rsid w:val="00B87521"/>
    <w:rsid w:val="00B87B4D"/>
    <w:rsid w:val="00BD01B1"/>
    <w:rsid w:val="00C2198C"/>
    <w:rsid w:val="00C26937"/>
    <w:rsid w:val="00C4254B"/>
    <w:rsid w:val="00C4378C"/>
    <w:rsid w:val="00C61ECD"/>
    <w:rsid w:val="00C9655A"/>
    <w:rsid w:val="00D174D9"/>
    <w:rsid w:val="00D1797F"/>
    <w:rsid w:val="00D36C1C"/>
    <w:rsid w:val="00D47254"/>
    <w:rsid w:val="00D47ABE"/>
    <w:rsid w:val="00D71BBA"/>
    <w:rsid w:val="00D9731A"/>
    <w:rsid w:val="00DB7295"/>
    <w:rsid w:val="00DC6D98"/>
    <w:rsid w:val="00DF0F39"/>
    <w:rsid w:val="00E57483"/>
    <w:rsid w:val="00E766BD"/>
    <w:rsid w:val="00EE0AB7"/>
    <w:rsid w:val="00EE63D8"/>
    <w:rsid w:val="00EE7894"/>
    <w:rsid w:val="00EF57F8"/>
    <w:rsid w:val="00F44357"/>
    <w:rsid w:val="00F44A5D"/>
    <w:rsid w:val="00F50A57"/>
    <w:rsid w:val="00F77F80"/>
    <w:rsid w:val="00F81EB6"/>
    <w:rsid w:val="00F9186E"/>
    <w:rsid w:val="00F96832"/>
    <w:rsid w:val="00FA15A5"/>
    <w:rsid w:val="00FB0FB5"/>
    <w:rsid w:val="00FD58D2"/>
    <w:rsid w:val="00FF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7322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322B2"/>
    <w:pPr>
      <w:ind w:left="720"/>
      <w:contextualSpacing/>
    </w:pPr>
  </w:style>
  <w:style w:type="table" w:customStyle="1" w:styleId="TableGrid1">
    <w:name w:val="Table Grid1"/>
    <w:basedOn w:val="TableNormal"/>
    <w:next w:val="TableGrid"/>
    <w:uiPriority w:val="59"/>
    <w:rsid w:val="0073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105F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2E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181"/>
    <w:rPr>
      <w:rFonts w:ascii="Tahoma" w:hAnsi="Tahoma" w:cs="Tahoma"/>
      <w:sz w:val="16"/>
      <w:szCs w:val="16"/>
    </w:rPr>
  </w:style>
  <w:style w:type="paragraph" w:styleId="NormalWeb">
    <w:name w:val="Normal (Web)"/>
    <w:basedOn w:val="Normal"/>
    <w:uiPriority w:val="99"/>
    <w:semiHidden/>
    <w:unhideWhenUsed/>
    <w:rsid w:val="00E766BD"/>
    <w:pPr>
      <w:spacing w:before="100" w:beforeAutospacing="1" w:after="100" w:afterAutospacing="1" w:line="240" w:lineRule="auto"/>
    </w:pPr>
    <w:rPr>
      <w:rFonts w:ascii="Times New Roman" w:eastAsia="Times New Roman" w:hAnsi="Times New Roman" w:cs="Times New Roman"/>
      <w:sz w:val="24"/>
      <w:szCs w:val="24"/>
    </w:rPr>
  </w:style>
  <w:style w:type="table" w:styleId="LightGrid">
    <w:name w:val="Light Grid"/>
    <w:basedOn w:val="TableNormal"/>
    <w:uiPriority w:val="62"/>
    <w:rsid w:val="007C05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1D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6A"/>
  </w:style>
  <w:style w:type="paragraph" w:styleId="Footer">
    <w:name w:val="footer"/>
    <w:basedOn w:val="Normal"/>
    <w:link w:val="FooterChar"/>
    <w:uiPriority w:val="99"/>
    <w:unhideWhenUsed/>
    <w:rsid w:val="001D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6A"/>
  </w:style>
  <w:style w:type="table" w:customStyle="1" w:styleId="TableGrid2">
    <w:name w:val="Table Grid2"/>
    <w:basedOn w:val="TableNormal"/>
    <w:next w:val="TableGrid"/>
    <w:uiPriority w:val="59"/>
    <w:rsid w:val="00D1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E78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EE78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EE78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dTable4-Accent11">
    <w:name w:val="Grid Table 4 - Accent 11"/>
    <w:basedOn w:val="TableNormal"/>
    <w:uiPriority w:val="49"/>
    <w:rsid w:val="00962F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7322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322B2"/>
    <w:pPr>
      <w:ind w:left="720"/>
      <w:contextualSpacing/>
    </w:pPr>
  </w:style>
  <w:style w:type="table" w:customStyle="1" w:styleId="TableGrid1">
    <w:name w:val="Table Grid1"/>
    <w:basedOn w:val="TableNormal"/>
    <w:next w:val="TableGrid"/>
    <w:uiPriority w:val="59"/>
    <w:rsid w:val="0073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105F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2E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181"/>
    <w:rPr>
      <w:rFonts w:ascii="Tahoma" w:hAnsi="Tahoma" w:cs="Tahoma"/>
      <w:sz w:val="16"/>
      <w:szCs w:val="16"/>
    </w:rPr>
  </w:style>
  <w:style w:type="paragraph" w:styleId="NormalWeb">
    <w:name w:val="Normal (Web)"/>
    <w:basedOn w:val="Normal"/>
    <w:uiPriority w:val="99"/>
    <w:semiHidden/>
    <w:unhideWhenUsed/>
    <w:rsid w:val="00E766BD"/>
    <w:pPr>
      <w:spacing w:before="100" w:beforeAutospacing="1" w:after="100" w:afterAutospacing="1" w:line="240" w:lineRule="auto"/>
    </w:pPr>
    <w:rPr>
      <w:rFonts w:ascii="Times New Roman" w:eastAsia="Times New Roman" w:hAnsi="Times New Roman" w:cs="Times New Roman"/>
      <w:sz w:val="24"/>
      <w:szCs w:val="24"/>
    </w:rPr>
  </w:style>
  <w:style w:type="table" w:styleId="LightGrid">
    <w:name w:val="Light Grid"/>
    <w:basedOn w:val="TableNormal"/>
    <w:uiPriority w:val="62"/>
    <w:rsid w:val="007C05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1D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6A"/>
  </w:style>
  <w:style w:type="paragraph" w:styleId="Footer">
    <w:name w:val="footer"/>
    <w:basedOn w:val="Normal"/>
    <w:link w:val="FooterChar"/>
    <w:uiPriority w:val="99"/>
    <w:unhideWhenUsed/>
    <w:rsid w:val="001D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6A"/>
  </w:style>
  <w:style w:type="table" w:customStyle="1" w:styleId="TableGrid2">
    <w:name w:val="Table Grid2"/>
    <w:basedOn w:val="TableNormal"/>
    <w:next w:val="TableGrid"/>
    <w:uiPriority w:val="59"/>
    <w:rsid w:val="00D1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E78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EE78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EE78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dTable4-Accent11">
    <w:name w:val="Grid Table 4 - Accent 11"/>
    <w:basedOn w:val="TableNormal"/>
    <w:uiPriority w:val="49"/>
    <w:rsid w:val="00962F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96927">
      <w:bodyDiv w:val="1"/>
      <w:marLeft w:val="0"/>
      <w:marRight w:val="0"/>
      <w:marTop w:val="0"/>
      <w:marBottom w:val="0"/>
      <w:divBdr>
        <w:top w:val="none" w:sz="0" w:space="0" w:color="auto"/>
        <w:left w:val="none" w:sz="0" w:space="0" w:color="auto"/>
        <w:bottom w:val="none" w:sz="0" w:space="0" w:color="auto"/>
        <w:right w:val="none" w:sz="0" w:space="0" w:color="auto"/>
      </w:divBdr>
    </w:div>
    <w:div w:id="395128459">
      <w:bodyDiv w:val="1"/>
      <w:marLeft w:val="0"/>
      <w:marRight w:val="0"/>
      <w:marTop w:val="0"/>
      <w:marBottom w:val="0"/>
      <w:divBdr>
        <w:top w:val="none" w:sz="0" w:space="0" w:color="auto"/>
        <w:left w:val="none" w:sz="0" w:space="0" w:color="auto"/>
        <w:bottom w:val="none" w:sz="0" w:space="0" w:color="auto"/>
        <w:right w:val="none" w:sz="0" w:space="0" w:color="auto"/>
      </w:divBdr>
    </w:div>
    <w:div w:id="486867498">
      <w:bodyDiv w:val="1"/>
      <w:marLeft w:val="0"/>
      <w:marRight w:val="0"/>
      <w:marTop w:val="0"/>
      <w:marBottom w:val="0"/>
      <w:divBdr>
        <w:top w:val="none" w:sz="0" w:space="0" w:color="auto"/>
        <w:left w:val="none" w:sz="0" w:space="0" w:color="auto"/>
        <w:bottom w:val="none" w:sz="0" w:space="0" w:color="auto"/>
        <w:right w:val="none" w:sz="0" w:space="0" w:color="auto"/>
      </w:divBdr>
    </w:div>
    <w:div w:id="890532872">
      <w:bodyDiv w:val="1"/>
      <w:marLeft w:val="0"/>
      <w:marRight w:val="0"/>
      <w:marTop w:val="0"/>
      <w:marBottom w:val="0"/>
      <w:divBdr>
        <w:top w:val="none" w:sz="0" w:space="0" w:color="auto"/>
        <w:left w:val="none" w:sz="0" w:space="0" w:color="auto"/>
        <w:bottom w:val="none" w:sz="0" w:space="0" w:color="auto"/>
        <w:right w:val="none" w:sz="0" w:space="0" w:color="auto"/>
      </w:divBdr>
    </w:div>
    <w:div w:id="2001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CHEM161</a:t>
            </a:r>
            <a:r>
              <a:rPr lang="en-US" sz="1100" b="1" baseline="0">
                <a:solidFill>
                  <a:sysClr val="windowText" lastClr="000000"/>
                </a:solidFill>
              </a:rPr>
              <a:t> PASS Weekly Attendance for Fall 2014 and Spring 2015 </a:t>
            </a:r>
            <a:endParaRPr lang="en-US" sz="1100" b="1">
              <a:solidFill>
                <a:sysClr val="windowText" lastClr="000000"/>
              </a:solidFill>
            </a:endParaRPr>
          </a:p>
        </c:rich>
      </c:tx>
      <c:layout>
        <c:manualLayout>
          <c:xMode val="edge"/>
          <c:yMode val="edge"/>
          <c:x val="0.19111047277888546"/>
          <c:y val="2.7114967462039046E-2"/>
        </c:manualLayout>
      </c:layout>
      <c:overlay val="0"/>
      <c:spPr>
        <a:noFill/>
        <a:ln>
          <a:noFill/>
        </a:ln>
        <a:effectLst/>
      </c:spPr>
    </c:title>
    <c:autoTitleDeleted val="0"/>
    <c:plotArea>
      <c:layout/>
      <c:barChart>
        <c:barDir val="col"/>
        <c:grouping val="clustered"/>
        <c:varyColors val="0"/>
        <c:ser>
          <c:idx val="0"/>
          <c:order val="0"/>
          <c:tx>
            <c:strRef>
              <c:f>Sheet4!$D$1:$D$2</c:f>
              <c:strCache>
                <c:ptCount val="1"/>
                <c:pt idx="0">
                  <c:v> Weekly Attendance Fall 2014</c:v>
                </c:pt>
              </c:strCache>
            </c:strRef>
          </c:tx>
          <c:spPr>
            <a:pattFill prst="lgConfetti">
              <a:fgClr>
                <a:schemeClr val="accent1">
                  <a:lumMod val="75000"/>
                </a:schemeClr>
              </a:fgClr>
              <a:bgClr>
                <a:srgbClr val="002060"/>
              </a:bgClr>
            </a:pattFill>
            <a:ln>
              <a:noFill/>
            </a:ln>
            <a:effectLst/>
          </c:spPr>
          <c:invertIfNegative val="0"/>
          <c:cat>
            <c:numRef>
              <c:f>Sheet4!$C$3:$C$16</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Sheet4!$D$3:$D$16</c:f>
              <c:numCache>
                <c:formatCode>General</c:formatCode>
                <c:ptCount val="14"/>
                <c:pt idx="0">
                  <c:v>0</c:v>
                </c:pt>
                <c:pt idx="1">
                  <c:v>11</c:v>
                </c:pt>
                <c:pt idx="2">
                  <c:v>17</c:v>
                </c:pt>
                <c:pt idx="3">
                  <c:v>22</c:v>
                </c:pt>
                <c:pt idx="4">
                  <c:v>25</c:v>
                </c:pt>
                <c:pt idx="5">
                  <c:v>24</c:v>
                </c:pt>
                <c:pt idx="6">
                  <c:v>29</c:v>
                </c:pt>
                <c:pt idx="7">
                  <c:v>15</c:v>
                </c:pt>
                <c:pt idx="8">
                  <c:v>26</c:v>
                </c:pt>
                <c:pt idx="9">
                  <c:v>15</c:v>
                </c:pt>
                <c:pt idx="10">
                  <c:v>8</c:v>
                </c:pt>
                <c:pt idx="11">
                  <c:v>1</c:v>
                </c:pt>
                <c:pt idx="12">
                  <c:v>37</c:v>
                </c:pt>
              </c:numCache>
            </c:numRef>
          </c:val>
        </c:ser>
        <c:ser>
          <c:idx val="1"/>
          <c:order val="1"/>
          <c:tx>
            <c:strRef>
              <c:f>Sheet4!$E$1:$E$2</c:f>
              <c:strCache>
                <c:ptCount val="1"/>
                <c:pt idx="0">
                  <c:v> Weekly Attendance Spring 2015</c:v>
                </c:pt>
              </c:strCache>
            </c:strRef>
          </c:tx>
          <c:spPr>
            <a:solidFill>
              <a:schemeClr val="accent1"/>
            </a:solidFill>
            <a:ln>
              <a:noFill/>
            </a:ln>
            <a:effectLst/>
          </c:spPr>
          <c:invertIfNegative val="0"/>
          <c:cat>
            <c:numRef>
              <c:f>Sheet4!$C$3:$C$16</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Sheet4!$E$3:$E$16</c:f>
              <c:numCache>
                <c:formatCode>General</c:formatCode>
                <c:ptCount val="14"/>
                <c:pt idx="0">
                  <c:v>1</c:v>
                </c:pt>
                <c:pt idx="1">
                  <c:v>0</c:v>
                </c:pt>
                <c:pt idx="2">
                  <c:v>9</c:v>
                </c:pt>
                <c:pt idx="3">
                  <c:v>5</c:v>
                </c:pt>
                <c:pt idx="4">
                  <c:v>6</c:v>
                </c:pt>
                <c:pt idx="5">
                  <c:v>7</c:v>
                </c:pt>
                <c:pt idx="6">
                  <c:v>17</c:v>
                </c:pt>
                <c:pt idx="7">
                  <c:v>16</c:v>
                </c:pt>
                <c:pt idx="8">
                  <c:v>2</c:v>
                </c:pt>
                <c:pt idx="9">
                  <c:v>9</c:v>
                </c:pt>
                <c:pt idx="10">
                  <c:v>19</c:v>
                </c:pt>
                <c:pt idx="11">
                  <c:v>4</c:v>
                </c:pt>
                <c:pt idx="12">
                  <c:v>13</c:v>
                </c:pt>
                <c:pt idx="13">
                  <c:v>9</c:v>
                </c:pt>
              </c:numCache>
            </c:numRef>
          </c:val>
        </c:ser>
        <c:dLbls>
          <c:showLegendKey val="0"/>
          <c:showVal val="0"/>
          <c:showCatName val="0"/>
          <c:showSerName val="0"/>
          <c:showPercent val="0"/>
          <c:showBubbleSize val="0"/>
        </c:dLbls>
        <c:gapWidth val="92"/>
        <c:axId val="189950976"/>
        <c:axId val="189957248"/>
      </c:barChart>
      <c:catAx>
        <c:axId val="1899509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Week</a:t>
                </a:r>
                <a:r>
                  <a:rPr lang="en-US" sz="1200" baseline="0"/>
                  <a:t> of Semester</a:t>
                </a:r>
                <a:endParaRPr lang="en-US" sz="12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9957248"/>
        <c:crosses val="autoZero"/>
        <c:auto val="1"/>
        <c:lblAlgn val="ctr"/>
        <c:lblOffset val="100"/>
        <c:noMultiLvlLbl val="0"/>
      </c:catAx>
      <c:valAx>
        <c:axId val="189957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Number of Attendants</a:t>
                </a:r>
              </a:p>
            </c:rich>
          </c:tx>
          <c:layout>
            <c:manualLayout>
              <c:xMode val="edge"/>
              <c:yMode val="edge"/>
              <c:x val="1.8181818181818181E-2"/>
              <c:y val="0.2151428571428571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995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50"/>
              <a:t>Impact</a:t>
            </a:r>
            <a:r>
              <a:rPr lang="en-US" sz="1050" baseline="0"/>
              <a:t> of </a:t>
            </a:r>
            <a:r>
              <a:rPr lang="en-US" sz="1050"/>
              <a:t>Peer Assisted Study Sessions on CHEM161 Withdrawal Rates 2014/2015</a:t>
            </a:r>
          </a:p>
        </c:rich>
      </c:tx>
      <c:overlay val="0"/>
      <c:spPr>
        <a:noFill/>
        <a:ln>
          <a:noFill/>
        </a:ln>
        <a:effectLst/>
      </c:spPr>
    </c:title>
    <c:autoTitleDeleted val="0"/>
    <c:plotArea>
      <c:layout>
        <c:manualLayout>
          <c:layoutTarget val="inner"/>
          <c:xMode val="edge"/>
          <c:yMode val="edge"/>
          <c:x val="0.19580983125031809"/>
          <c:y val="0.19579751206595863"/>
          <c:w val="0.80402079547748839"/>
          <c:h val="0.58016582866900679"/>
        </c:manualLayout>
      </c:layout>
      <c:barChart>
        <c:barDir val="col"/>
        <c:grouping val="clustered"/>
        <c:varyColors val="0"/>
        <c:ser>
          <c:idx val="0"/>
          <c:order val="0"/>
          <c:tx>
            <c:strRef>
              <c:f>Sheet1!$M$81</c:f>
              <c:strCache>
                <c:ptCount val="1"/>
                <c:pt idx="0">
                  <c:v>did not attend PASS</c:v>
                </c:pt>
              </c:strCache>
            </c:strRef>
          </c:tx>
          <c:spPr>
            <a:pattFill prst="wdDnDiag">
              <a:fgClr>
                <a:srgbClr val="0070C0"/>
              </a:fgClr>
              <a:bgClr>
                <a:schemeClr val="bg1"/>
              </a:bgClr>
            </a:pattFill>
            <a:ln w="9525" cap="flat" cmpd="sng" algn="ctr">
              <a:solidFill>
                <a:sysClr val="windowText" lastClr="000000">
                  <a:alpha val="50000"/>
                </a:sysClr>
              </a:solidFill>
              <a:round/>
            </a:ln>
            <a:effectLst/>
          </c:spPr>
          <c:invertIfNegative val="0"/>
          <c:dLbls>
            <c:dLbl>
              <c:idx val="0"/>
              <c:layout>
                <c:manualLayout>
                  <c:x val="-4.4338448078606344E-3"/>
                  <c:y val="2.917578409919793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97092671108576E-3"/>
                  <c:y val="2.917578409919766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Sheet1!$N$76:$O$76</c:f>
              <c:strCache>
                <c:ptCount val="2"/>
                <c:pt idx="0">
                  <c:v>Fall 2014</c:v>
                </c:pt>
                <c:pt idx="1">
                  <c:v>Spring 2015</c:v>
                </c:pt>
              </c:strCache>
            </c:strRef>
          </c:cat>
          <c:val>
            <c:numRef>
              <c:f>Sheet1!$N$81:$O$81</c:f>
              <c:numCache>
                <c:formatCode>0.00%</c:formatCode>
                <c:ptCount val="2"/>
                <c:pt idx="0">
                  <c:v>0.2147</c:v>
                </c:pt>
                <c:pt idx="1">
                  <c:v>0.16869999999999999</c:v>
                </c:pt>
              </c:numCache>
            </c:numRef>
          </c:val>
        </c:ser>
        <c:ser>
          <c:idx val="1"/>
          <c:order val="1"/>
          <c:tx>
            <c:strRef>
              <c:f>Sheet1!$M$82</c:f>
              <c:strCache>
                <c:ptCount val="1"/>
                <c:pt idx="0">
                  <c:v>attended PASS </c:v>
                </c:pt>
              </c:strCache>
            </c:strRef>
          </c:tx>
          <c:spPr>
            <a:pattFill prst="solidDmnd">
              <a:fgClr>
                <a:srgbClr val="0070C0"/>
              </a:fgClr>
              <a:bgClr>
                <a:schemeClr val="bg1"/>
              </a:bgClr>
            </a:pattFill>
            <a:ln w="9525" cap="flat" cmpd="sng" algn="ctr">
              <a:solidFill>
                <a:sysClr val="windowText" lastClr="000000">
                  <a:alpha val="50000"/>
                </a:sysClr>
              </a:solidFill>
              <a:round/>
            </a:ln>
            <a:effectLst/>
          </c:spPr>
          <c:invertIfNegative val="0"/>
          <c:dLbls>
            <c:dLbl>
              <c:idx val="0"/>
              <c:layout>
                <c:manualLayout>
                  <c:x val="-5.5022208762366244E-3"/>
                  <c:y val="0"/>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lumMod val="7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813379096843662E-3"/>
                  <c:y val="8.7527352297592457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lumMod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Sheet1!$N$76:$O$76</c:f>
              <c:strCache>
                <c:ptCount val="2"/>
                <c:pt idx="0">
                  <c:v>Fall 2014</c:v>
                </c:pt>
                <c:pt idx="1">
                  <c:v>Spring 2015</c:v>
                </c:pt>
              </c:strCache>
            </c:strRef>
          </c:cat>
          <c:val>
            <c:numRef>
              <c:f>Sheet1!$N$82:$O$82</c:f>
              <c:numCache>
                <c:formatCode>0.00%</c:formatCode>
                <c:ptCount val="2"/>
                <c:pt idx="0" formatCode="0%">
                  <c:v>0.125</c:v>
                </c:pt>
                <c:pt idx="1">
                  <c:v>5.45E-2</c:v>
                </c:pt>
              </c:numCache>
            </c:numRef>
          </c:val>
        </c:ser>
        <c:ser>
          <c:idx val="2"/>
          <c:order val="2"/>
          <c:tx>
            <c:strRef>
              <c:f>Sheet1!$M$83</c:f>
              <c:strCache>
                <c:ptCount val="1"/>
                <c:pt idx="0">
                  <c:v>multiple PASS sessions</c:v>
                </c:pt>
              </c:strCache>
            </c:strRef>
          </c:tx>
          <c:spPr>
            <a:pattFill prst="smGrid">
              <a:fgClr>
                <a:srgbClr val="0070C0"/>
              </a:fgClr>
              <a:bgClr>
                <a:schemeClr val="tx2"/>
              </a:bgClr>
            </a:pattFill>
            <a:ln w="9525" cap="flat" cmpd="sng" algn="ctr">
              <a:solidFill>
                <a:sysClr val="windowText" lastClr="000000">
                  <a:alpha val="50000"/>
                </a:sysClr>
              </a:solidFill>
              <a:round/>
            </a:ln>
            <a:effectLst/>
          </c:spPr>
          <c:invertIfNegative val="0"/>
          <c:dLbls>
            <c:dLbl>
              <c:idx val="0"/>
              <c:layout>
                <c:manualLayout>
                  <c:x val="-3.3415725946877998E-4"/>
                  <c:y val="-2.917543108529989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574973031283709E-3"/>
                  <c:y val="1.071511451139529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Sheet1!$N$76:$O$76</c:f>
              <c:strCache>
                <c:ptCount val="2"/>
                <c:pt idx="0">
                  <c:v>Fall 2014</c:v>
                </c:pt>
                <c:pt idx="1">
                  <c:v>Spring 2015</c:v>
                </c:pt>
              </c:strCache>
            </c:strRef>
          </c:cat>
          <c:val>
            <c:numRef>
              <c:f>Sheet1!$N$83:$O$83</c:f>
              <c:numCache>
                <c:formatCode>0.00%</c:formatCode>
                <c:ptCount val="2"/>
                <c:pt idx="0">
                  <c:v>5.5500000000000001E-2</c:v>
                </c:pt>
                <c:pt idx="1">
                  <c:v>1.8200000000000001E-2</c:v>
                </c:pt>
              </c:numCache>
            </c:numRef>
          </c:val>
        </c:ser>
        <c:dLbls>
          <c:dLblPos val="inEnd"/>
          <c:showLegendKey val="0"/>
          <c:showVal val="1"/>
          <c:showCatName val="0"/>
          <c:showSerName val="0"/>
          <c:showPercent val="0"/>
          <c:showBubbleSize val="0"/>
        </c:dLbls>
        <c:gapWidth val="65"/>
        <c:axId val="189870848"/>
        <c:axId val="189872768"/>
      </c:barChart>
      <c:catAx>
        <c:axId val="1898708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1100"/>
                  <a:t>CHEM161</a:t>
                </a:r>
                <a:r>
                  <a:rPr lang="en-US" sz="1100" baseline="0"/>
                  <a:t> Students</a:t>
                </a:r>
                <a:endParaRPr lang="en-US" sz="1100"/>
              </a:p>
            </c:rich>
          </c:tx>
          <c:layout>
            <c:manualLayout>
              <c:xMode val="edge"/>
              <c:yMode val="edge"/>
              <c:x val="0.43995451550005776"/>
              <c:y val="0.8406774528021026"/>
            </c:manualLayout>
          </c:layout>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50" b="0" i="0" u="none" strike="noStrike" kern="1200" cap="all" baseline="0">
                <a:solidFill>
                  <a:schemeClr val="dk1">
                    <a:lumMod val="75000"/>
                    <a:lumOff val="25000"/>
                  </a:schemeClr>
                </a:solidFill>
                <a:latin typeface="+mn-lt"/>
                <a:ea typeface="+mn-ea"/>
                <a:cs typeface="+mn-cs"/>
              </a:defRPr>
            </a:pPr>
            <a:endParaRPr lang="en-US"/>
          </a:p>
        </c:txPr>
        <c:crossAx val="189872768"/>
        <c:crosses val="autoZero"/>
        <c:auto val="1"/>
        <c:lblAlgn val="ctr"/>
        <c:lblOffset val="100"/>
        <c:noMultiLvlLbl val="0"/>
      </c:catAx>
      <c:valAx>
        <c:axId val="18987276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Withdrawl Rate (%)</a:t>
                </a:r>
              </a:p>
            </c:rich>
          </c:tx>
          <c:layout>
            <c:manualLayout>
              <c:xMode val="edge"/>
              <c:yMode val="edge"/>
              <c:x val="4.1415963781226382E-2"/>
              <c:y val="0.24460006328996109"/>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89870848"/>
        <c:crosses val="autoZero"/>
        <c:crossBetween val="between"/>
      </c:valAx>
      <c:spPr>
        <a:noFill/>
        <a:ln>
          <a:noFill/>
        </a:ln>
        <a:effectLst/>
      </c:spPr>
    </c:plotArea>
    <c:legend>
      <c:legendPos val="b"/>
      <c:layout>
        <c:manualLayout>
          <c:xMode val="edge"/>
          <c:yMode val="edge"/>
          <c:x val="3.205136122690546E-2"/>
          <c:y val="0.92065889114854016"/>
          <c:w val="0.96581196581196582"/>
          <c:h val="7.934113268664175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1" i="0" u="none" strike="noStrike" kern="1200" baseline="0">
                <a:solidFill>
                  <a:schemeClr val="dk1">
                    <a:lumMod val="75000"/>
                    <a:lumOff val="25000"/>
                  </a:schemeClr>
                </a:solidFill>
                <a:latin typeface="+mn-lt"/>
                <a:ea typeface="+mn-ea"/>
                <a:cs typeface="+mn-cs"/>
              </a:defRPr>
            </a:pPr>
            <a:r>
              <a:rPr lang="en-US" sz="1050" baseline="0"/>
              <a:t>Impact of Peer Assisted Study Session Attendance on Final Grade in CHEM161 2014/2015</a:t>
            </a:r>
          </a:p>
        </c:rich>
      </c:tx>
      <c:layout>
        <c:manualLayout>
          <c:xMode val="edge"/>
          <c:yMode val="edge"/>
          <c:x val="0.1466116998929351"/>
          <c:y val="3.1918460192475941E-2"/>
        </c:manualLayout>
      </c:layout>
      <c:overlay val="0"/>
      <c:spPr>
        <a:noFill/>
        <a:ln>
          <a:noFill/>
        </a:ln>
        <a:effectLst/>
      </c:spPr>
    </c:title>
    <c:autoTitleDeleted val="0"/>
    <c:plotArea>
      <c:layout>
        <c:manualLayout>
          <c:layoutTarget val="inner"/>
          <c:xMode val="edge"/>
          <c:yMode val="edge"/>
          <c:x val="0.33472816712857811"/>
          <c:y val="0.22165607730724904"/>
          <c:w val="0.6352172370913286"/>
          <c:h val="0.62101421436803683"/>
        </c:manualLayout>
      </c:layout>
      <c:barChart>
        <c:barDir val="bar"/>
        <c:grouping val="clustered"/>
        <c:varyColors val="0"/>
        <c:ser>
          <c:idx val="0"/>
          <c:order val="0"/>
          <c:tx>
            <c:strRef>
              <c:f>Sheet1!$N$76</c:f>
              <c:strCache>
                <c:ptCount val="1"/>
                <c:pt idx="0">
                  <c:v>Fall 2014</c:v>
                </c:pt>
              </c:strCache>
            </c:strRef>
          </c:tx>
          <c:spPr>
            <a:solidFill>
              <a:schemeClr val="accent1">
                <a:alpha val="85000"/>
              </a:schemeClr>
            </a:solidFill>
            <a:ln w="9525" cap="flat" cmpd="sng" algn="ctr">
              <a:solidFill>
                <a:sysClr val="windowText" lastClr="000000">
                  <a:alpha val="50000"/>
                </a:sysClr>
              </a:solidFill>
              <a:round/>
            </a:ln>
            <a:effectLst/>
          </c:spPr>
          <c:invertIfNegative val="0"/>
          <c:dLbls>
            <c:dLbl>
              <c:idx val="0"/>
              <c:layout>
                <c:manualLayout>
                  <c:x val="-9.938850980795917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98432314778085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752674817508714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0297953147658628E-3"/>
                  <c:y val="4.073441259212916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0" i="1" u="none" strike="noStrike" kern="1200" baseline="0">
                    <a:solidFill>
                      <a:schemeClr val="tx2">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Sheet1!$M$77:$M$80</c:f>
              <c:strCache>
                <c:ptCount val="4"/>
                <c:pt idx="0">
                  <c:v>All students Enrolled in CHEM161</c:v>
                </c:pt>
                <c:pt idx="1">
                  <c:v>All PASS Attendants</c:v>
                </c:pt>
                <c:pt idx="2">
                  <c:v>1 session</c:v>
                </c:pt>
                <c:pt idx="3">
                  <c:v>multiple sessions</c:v>
                </c:pt>
              </c:strCache>
            </c:strRef>
          </c:cat>
          <c:val>
            <c:numRef>
              <c:f>Sheet1!$N$77:$N$80</c:f>
              <c:numCache>
                <c:formatCode>General</c:formatCode>
                <c:ptCount val="4"/>
                <c:pt idx="0">
                  <c:v>2.4700000000000002</c:v>
                </c:pt>
                <c:pt idx="1">
                  <c:v>2.69</c:v>
                </c:pt>
                <c:pt idx="2">
                  <c:v>2.62</c:v>
                </c:pt>
                <c:pt idx="3">
                  <c:v>2.72</c:v>
                </c:pt>
              </c:numCache>
            </c:numRef>
          </c:val>
        </c:ser>
        <c:ser>
          <c:idx val="1"/>
          <c:order val="1"/>
          <c:tx>
            <c:strRef>
              <c:f>Sheet1!$O$76</c:f>
              <c:strCache>
                <c:ptCount val="1"/>
                <c:pt idx="0">
                  <c:v>Spring 2015</c:v>
                </c:pt>
              </c:strCache>
            </c:strRef>
          </c:tx>
          <c:spPr>
            <a:pattFill prst="dkVert">
              <a:fgClr>
                <a:schemeClr val="accent1"/>
              </a:fgClr>
              <a:bgClr>
                <a:schemeClr val="bg1"/>
              </a:bgClr>
            </a:pattFill>
            <a:ln w="9525" cap="flat" cmpd="dbl" algn="ctr">
              <a:solidFill>
                <a:sysClr val="windowText" lastClr="000000">
                  <a:alpha val="50000"/>
                </a:sysClr>
              </a:solidFill>
              <a:round/>
            </a:ln>
            <a:effectLst/>
          </c:spPr>
          <c:invertIfNegative val="0"/>
          <c:dLbls>
            <c:dLbl>
              <c:idx val="0"/>
              <c:layout>
                <c:manualLayout>
                  <c:x val="-1.3847906646825973E-2"/>
                  <c:y val="-7.4678893721951276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984323147780926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893378813811053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883552723848449E-2"/>
                  <c:y val="4.7281323877068557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6847518973155715E-2"/>
                      <c:h val="7.7334442677861034E-2"/>
                    </c:manualLayout>
                  </c15:layout>
                </c:ext>
              </c:extLst>
            </c:dLbl>
            <c:spPr>
              <a:noFill/>
              <a:ln>
                <a:noFill/>
              </a:ln>
              <a:effectLst/>
            </c:spPr>
            <c:txPr>
              <a:bodyPr rot="0" spcFirstLastPara="1" vertOverflow="ellipsis" vert="horz" wrap="square" anchor="ctr" anchorCtr="1"/>
              <a:lstStyle/>
              <a:p>
                <a:pPr>
                  <a:defRPr sz="1100" b="0" i="1" u="none" strike="noStrike" kern="1200" baseline="0">
                    <a:solidFill>
                      <a:schemeClr val="tx2">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Sheet1!$M$77:$M$80</c:f>
              <c:strCache>
                <c:ptCount val="4"/>
                <c:pt idx="0">
                  <c:v>All students Enrolled in CHEM161</c:v>
                </c:pt>
                <c:pt idx="1">
                  <c:v>All PASS Attendants</c:v>
                </c:pt>
                <c:pt idx="2">
                  <c:v>1 session</c:v>
                </c:pt>
                <c:pt idx="3">
                  <c:v>multiple sessions</c:v>
                </c:pt>
              </c:strCache>
            </c:strRef>
          </c:cat>
          <c:val>
            <c:numRef>
              <c:f>Sheet1!$O$77:$O$80</c:f>
              <c:numCache>
                <c:formatCode>General</c:formatCode>
                <c:ptCount val="4"/>
                <c:pt idx="0">
                  <c:v>2.48</c:v>
                </c:pt>
                <c:pt idx="1">
                  <c:v>2.94</c:v>
                </c:pt>
                <c:pt idx="2">
                  <c:v>2.79</c:v>
                </c:pt>
                <c:pt idx="3">
                  <c:v>3.03</c:v>
                </c:pt>
              </c:numCache>
            </c:numRef>
          </c:val>
        </c:ser>
        <c:dLbls>
          <c:dLblPos val="inEnd"/>
          <c:showLegendKey val="0"/>
          <c:showVal val="1"/>
          <c:showCatName val="0"/>
          <c:showSerName val="0"/>
          <c:showPercent val="0"/>
          <c:showBubbleSize val="0"/>
        </c:dLbls>
        <c:gapWidth val="65"/>
        <c:axId val="189895040"/>
        <c:axId val="189896576"/>
      </c:barChart>
      <c:catAx>
        <c:axId val="1898950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mn-lt"/>
                <a:ea typeface="+mn-ea"/>
                <a:cs typeface="+mn-cs"/>
              </a:defRPr>
            </a:pPr>
            <a:endParaRPr lang="en-US"/>
          </a:p>
        </c:txPr>
        <c:crossAx val="189896576"/>
        <c:crosses val="autoZero"/>
        <c:auto val="1"/>
        <c:lblAlgn val="ctr"/>
        <c:lblOffset val="100"/>
        <c:noMultiLvlLbl val="0"/>
      </c:catAx>
      <c:valAx>
        <c:axId val="189896576"/>
        <c:scaling>
          <c:orientation val="minMax"/>
          <c:max val="3.1"/>
          <c:min val="2.2999999999999998"/>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a:t>Course GPA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crossAx val="189895040"/>
        <c:crosses val="autoZero"/>
        <c:crossBetween val="between"/>
      </c:valAx>
      <c:spPr>
        <a:noFill/>
        <a:ln>
          <a:noFill/>
        </a:ln>
        <a:effectLst/>
      </c:spPr>
    </c:plotArea>
    <c:legend>
      <c:legendPos val="b"/>
      <c:layout>
        <c:manualLayout>
          <c:xMode val="edge"/>
          <c:yMode val="edge"/>
          <c:x val="0.12847684362035389"/>
          <c:y val="0.92220647419072621"/>
          <c:w val="0.33014308695284056"/>
          <c:h val="7.7793525809273831E-2"/>
        </c:manualLayout>
      </c:layout>
      <c:overlay val="1"/>
      <c:spPr>
        <a:no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sz="1200" baseline="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en-US" sz="900"/>
              <a:t>nUMBER of Academic Coaching SESSIONS</a:t>
            </a:r>
          </a:p>
          <a:p>
            <a:pPr>
              <a:defRPr sz="1600" b="1" i="0" u="none" strike="noStrike" kern="1200" cap="all" spc="120" normalizeH="0" baseline="0">
                <a:solidFill>
                  <a:sysClr val="windowText" lastClr="000000"/>
                </a:solidFill>
                <a:latin typeface="+mn-lt"/>
                <a:ea typeface="+mn-ea"/>
                <a:cs typeface="+mn-cs"/>
              </a:defRPr>
            </a:pPr>
            <a:r>
              <a:rPr lang="en-US" sz="900"/>
              <a:t>by Service</a:t>
            </a:r>
            <a:r>
              <a:rPr lang="en-US" sz="900" baseline="0"/>
              <a:t> Type</a:t>
            </a:r>
            <a:r>
              <a:rPr lang="en-US" sz="900"/>
              <a:t> </a:t>
            </a:r>
          </a:p>
          <a:p>
            <a:pPr>
              <a:defRPr sz="1600" b="1" i="0" u="none" strike="noStrike" kern="1200" cap="all" spc="120" normalizeH="0" baseline="0">
                <a:solidFill>
                  <a:sysClr val="windowText" lastClr="000000"/>
                </a:solidFill>
                <a:latin typeface="+mn-lt"/>
                <a:ea typeface="+mn-ea"/>
                <a:cs typeface="+mn-cs"/>
              </a:defRPr>
            </a:pPr>
            <a:r>
              <a:rPr lang="en-US" sz="800"/>
              <a:t>Three-year trend</a:t>
            </a:r>
          </a:p>
          <a:p>
            <a:pPr>
              <a:defRPr sz="1600" b="1" i="0" u="none" strike="noStrike" kern="1200" cap="all" spc="120" normalizeH="0" baseline="0">
                <a:solidFill>
                  <a:sysClr val="windowText" lastClr="000000"/>
                </a:solidFill>
                <a:latin typeface="+mn-lt"/>
                <a:ea typeface="+mn-ea"/>
                <a:cs typeface="+mn-cs"/>
              </a:defRPr>
            </a:pPr>
            <a:endParaRPr lang="en-US"/>
          </a:p>
        </c:rich>
      </c:tx>
      <c:overlay val="0"/>
      <c:spPr>
        <a:noFill/>
        <a:ln>
          <a:noFill/>
        </a:ln>
        <a:effectLst/>
      </c:spPr>
    </c:title>
    <c:autoTitleDeleted val="0"/>
    <c:plotArea>
      <c:layout>
        <c:manualLayout>
          <c:layoutTarget val="inner"/>
          <c:xMode val="edge"/>
          <c:yMode val="edge"/>
          <c:x val="0.18155879321415294"/>
          <c:y val="0.19074955451651715"/>
          <c:w val="0.78706076816733783"/>
          <c:h val="0.34708656292212542"/>
        </c:manualLayout>
      </c:layout>
      <c:lineChart>
        <c:grouping val="standard"/>
        <c:varyColors val="0"/>
        <c:ser>
          <c:idx val="0"/>
          <c:order val="0"/>
          <c:tx>
            <c:v>Total</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CHARTS!$C$95:$E$95</c:f>
              <c:strCache>
                <c:ptCount val="3"/>
                <c:pt idx="0">
                  <c:v>AY 12/13</c:v>
                </c:pt>
                <c:pt idx="1">
                  <c:v>AY 13/14</c:v>
                </c:pt>
                <c:pt idx="2">
                  <c:v>AY 14/15</c:v>
                </c:pt>
              </c:strCache>
            </c:strRef>
          </c:cat>
          <c:val>
            <c:numRef>
              <c:f>CHARTS!$C$96:$E$96</c:f>
              <c:numCache>
                <c:formatCode>General</c:formatCode>
                <c:ptCount val="3"/>
                <c:pt idx="0">
                  <c:v>2235</c:v>
                </c:pt>
                <c:pt idx="1">
                  <c:v>2685</c:v>
                </c:pt>
                <c:pt idx="2">
                  <c:v>3274</c:v>
                </c:pt>
              </c:numCache>
            </c:numRef>
          </c:val>
          <c:smooth val="0"/>
        </c:ser>
        <c:ser>
          <c:idx val="1"/>
          <c:order val="1"/>
          <c:tx>
            <c:v>TLC 001</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CHARTS!$C$95:$E$95</c:f>
              <c:strCache>
                <c:ptCount val="3"/>
                <c:pt idx="0">
                  <c:v>AY 12/13</c:v>
                </c:pt>
                <c:pt idx="1">
                  <c:v>AY 13/14</c:v>
                </c:pt>
                <c:pt idx="2">
                  <c:v>AY 14/15</c:v>
                </c:pt>
              </c:strCache>
            </c:strRef>
          </c:cat>
          <c:val>
            <c:numRef>
              <c:f>CHARTS!$C$97:$E$97</c:f>
              <c:numCache>
                <c:formatCode>General</c:formatCode>
                <c:ptCount val="3"/>
                <c:pt idx="0">
                  <c:v>1865</c:v>
                </c:pt>
                <c:pt idx="1">
                  <c:v>2150</c:v>
                </c:pt>
                <c:pt idx="2">
                  <c:v>2210</c:v>
                </c:pt>
              </c:numCache>
            </c:numRef>
          </c:val>
          <c:smooth val="0"/>
        </c:ser>
        <c:ser>
          <c:idx val="2"/>
          <c:order val="2"/>
          <c:tx>
            <c:v>Walk in</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CHARTS!$C$95:$E$95</c:f>
              <c:strCache>
                <c:ptCount val="3"/>
                <c:pt idx="0">
                  <c:v>AY 12/13</c:v>
                </c:pt>
                <c:pt idx="1">
                  <c:v>AY 13/14</c:v>
                </c:pt>
                <c:pt idx="2">
                  <c:v>AY 14/15</c:v>
                </c:pt>
              </c:strCache>
            </c:strRef>
          </c:cat>
          <c:val>
            <c:numRef>
              <c:f>CHARTS!$C$98:$E$98</c:f>
              <c:numCache>
                <c:formatCode>General</c:formatCode>
                <c:ptCount val="3"/>
                <c:pt idx="0">
                  <c:v>181</c:v>
                </c:pt>
                <c:pt idx="1">
                  <c:v>433</c:v>
                </c:pt>
                <c:pt idx="2">
                  <c:v>596</c:v>
                </c:pt>
              </c:numCache>
            </c:numRef>
          </c:val>
          <c:smooth val="0"/>
        </c:ser>
        <c:ser>
          <c:idx val="3"/>
          <c:order val="3"/>
          <c:tx>
            <c:v>Online</c:v>
          </c:tx>
          <c:spPr>
            <a:ln w="22225" cap="rnd">
              <a:solidFill>
                <a:schemeClr val="accent4"/>
              </a:solidFill>
              <a:round/>
            </a:ln>
            <a:effectLst/>
          </c:spPr>
          <c:marker>
            <c:symbol val="x"/>
            <c:size val="6"/>
            <c:spPr>
              <a:noFill/>
              <a:ln w="9525">
                <a:solidFill>
                  <a:schemeClr val="accent4"/>
                </a:solidFill>
                <a:round/>
              </a:ln>
              <a:effectLst/>
            </c:spPr>
          </c:marker>
          <c:cat>
            <c:strRef>
              <c:f>CHARTS!$C$95:$E$95</c:f>
              <c:strCache>
                <c:ptCount val="3"/>
                <c:pt idx="0">
                  <c:v>AY 12/13</c:v>
                </c:pt>
                <c:pt idx="1">
                  <c:v>AY 13/14</c:v>
                </c:pt>
                <c:pt idx="2">
                  <c:v>AY 14/15</c:v>
                </c:pt>
              </c:strCache>
            </c:strRef>
          </c:cat>
          <c:val>
            <c:numRef>
              <c:f>CHARTS!$C$99:$E$99</c:f>
              <c:numCache>
                <c:formatCode>General</c:formatCode>
                <c:ptCount val="3"/>
                <c:pt idx="0">
                  <c:v>189</c:v>
                </c:pt>
                <c:pt idx="1">
                  <c:v>102</c:v>
                </c:pt>
                <c:pt idx="2">
                  <c:v>468</c:v>
                </c:pt>
              </c:numCache>
            </c:numRef>
          </c:val>
          <c:smooth val="0"/>
        </c:ser>
        <c:dLbls>
          <c:showLegendKey val="0"/>
          <c:showVal val="0"/>
          <c:showCatName val="0"/>
          <c:showSerName val="0"/>
          <c:showPercent val="0"/>
          <c:showBubbleSize val="0"/>
        </c:dLbls>
        <c:marker val="1"/>
        <c:smooth val="0"/>
        <c:axId val="189944192"/>
        <c:axId val="189946112"/>
      </c:lineChart>
      <c:catAx>
        <c:axId val="189944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189946112"/>
        <c:crosses val="autoZero"/>
        <c:auto val="1"/>
        <c:lblAlgn val="ctr"/>
        <c:lblOffset val="100"/>
        <c:noMultiLvlLbl val="0"/>
      </c:catAx>
      <c:valAx>
        <c:axId val="18994611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9441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n-lt"/>
                <a:ea typeface="+mj-ea"/>
                <a:cs typeface="+mj-cs"/>
              </a:defRPr>
            </a:pPr>
            <a:r>
              <a:rPr lang="en-US" sz="1000" b="1" i="0" baseline="0"/>
              <a:t>Change in GPA by PARTICIPATION in pre-semester Academic Success Session and TLC Academic Intervetion</a:t>
            </a:r>
            <a:endParaRPr lang="en-US" sz="1000" b="1" i="0"/>
          </a:p>
          <a:p>
            <a:pPr>
              <a:defRPr sz="1600" b="0" i="0" u="none" strike="noStrike" kern="1200" cap="none" spc="50" normalizeH="0" baseline="0">
                <a:solidFill>
                  <a:sysClr val="windowText" lastClr="000000"/>
                </a:solidFill>
                <a:latin typeface="+mn-lt"/>
                <a:ea typeface="+mj-ea"/>
                <a:cs typeface="+mj-cs"/>
              </a:defRPr>
            </a:pPr>
            <a:r>
              <a:rPr lang="en-US" sz="1000" b="1" i="1"/>
              <a:t>First-Time Probation</a:t>
            </a:r>
            <a:r>
              <a:rPr lang="en-US" sz="1000" b="1" i="1" baseline="0"/>
              <a:t> Students, Spring 2015</a:t>
            </a:r>
            <a:endParaRPr lang="en-US" sz="1000" b="1" i="1"/>
          </a:p>
          <a:p>
            <a:pPr>
              <a:defRPr sz="1600" b="0" i="0" u="none" strike="noStrike" kern="1200" cap="none" spc="50" normalizeH="0" baseline="0">
                <a:solidFill>
                  <a:sysClr val="windowText" lastClr="000000"/>
                </a:solidFill>
                <a:latin typeface="+mn-lt"/>
                <a:ea typeface="+mj-ea"/>
                <a:cs typeface="+mj-cs"/>
              </a:defRPr>
            </a:pPr>
            <a:r>
              <a:rPr lang="en-US" sz="1000" b="1" i="0" baseline="0"/>
              <a:t>ALL INTERVENTIONS</a:t>
            </a:r>
            <a:endParaRPr lang="en-US" sz="1000" b="1" i="0"/>
          </a:p>
        </c:rich>
      </c:tx>
      <c:layout>
        <c:manualLayout>
          <c:xMode val="edge"/>
          <c:yMode val="edge"/>
          <c:x val="0.15533054003724395"/>
          <c:y val="0"/>
        </c:manualLayout>
      </c:layout>
      <c:overlay val="0"/>
      <c:spPr>
        <a:noFill/>
        <a:ln>
          <a:noFill/>
        </a:ln>
        <a:effectLst/>
      </c:spPr>
    </c:title>
    <c:autoTitleDeleted val="0"/>
    <c:plotArea>
      <c:layout/>
      <c:barChart>
        <c:barDir val="col"/>
        <c:grouping val="clustered"/>
        <c:varyColors val="0"/>
        <c:ser>
          <c:idx val="0"/>
          <c:order val="0"/>
          <c:tx>
            <c:v>INCREASE in GPA</c:v>
          </c:tx>
          <c:spPr>
            <a:pattFill prst="solidDmnd">
              <a:fgClr>
                <a:srgbClr val="4F81BD"/>
              </a:fgClr>
              <a:bgClr>
                <a:sysClr val="window" lastClr="FFFFFF"/>
              </a:bgClr>
            </a:pattFill>
            <a:ln>
              <a:solidFill>
                <a:srgbClr val="1F497D"/>
              </a:solidFill>
            </a:ln>
            <a:effectLst/>
          </c:spPr>
          <c:invertIfNegative val="0"/>
          <c:cat>
            <c:strRef>
              <c:f>CHARTS!$A$59:$A$64</c:f>
              <c:strCache>
                <c:ptCount val="6"/>
                <c:pt idx="0">
                  <c:v>Session &amp; Intervention 
(Passed)</c:v>
                </c:pt>
                <c:pt idx="1">
                  <c:v>Session &amp; Intervention 
(Failed)</c:v>
                </c:pt>
                <c:pt idx="2">
                  <c:v>Intervention Only 
(Passed)</c:v>
                </c:pt>
                <c:pt idx="3">
                  <c:v>Intervention Only 
(Failed)</c:v>
                </c:pt>
                <c:pt idx="4">
                  <c:v>Session
Only</c:v>
                </c:pt>
                <c:pt idx="5">
                  <c:v>Neither</c:v>
                </c:pt>
              </c:strCache>
            </c:strRef>
          </c:cat>
          <c:val>
            <c:numRef>
              <c:f>CHARTS!$B$59:$B$64</c:f>
              <c:numCache>
                <c:formatCode>0%</c:formatCode>
                <c:ptCount val="6"/>
                <c:pt idx="0">
                  <c:v>0.75</c:v>
                </c:pt>
                <c:pt idx="1">
                  <c:v>0.55000000000000004</c:v>
                </c:pt>
                <c:pt idx="2">
                  <c:v>0.66</c:v>
                </c:pt>
                <c:pt idx="3">
                  <c:v>0.44</c:v>
                </c:pt>
                <c:pt idx="4">
                  <c:v>0.34</c:v>
                </c:pt>
                <c:pt idx="5">
                  <c:v>0.21</c:v>
                </c:pt>
              </c:numCache>
            </c:numRef>
          </c:val>
        </c:ser>
        <c:ser>
          <c:idx val="1"/>
          <c:order val="1"/>
          <c:tx>
            <c:v>DECREASE in GPA</c:v>
          </c:tx>
          <c:spPr>
            <a:pattFill prst="pct90">
              <a:fgClr>
                <a:srgbClr val="1F497D"/>
              </a:fgClr>
              <a:bgClr>
                <a:sysClr val="window" lastClr="FFFFFF"/>
              </a:bgClr>
            </a:pattFill>
            <a:ln>
              <a:solidFill>
                <a:srgbClr val="1F497D"/>
              </a:solidFill>
            </a:ln>
            <a:effectLst/>
          </c:spPr>
          <c:invertIfNegative val="0"/>
          <c:cat>
            <c:strRef>
              <c:f>CHARTS!$A$59:$A$64</c:f>
              <c:strCache>
                <c:ptCount val="6"/>
                <c:pt idx="0">
                  <c:v>Session &amp; Intervention 
(Passed)</c:v>
                </c:pt>
                <c:pt idx="1">
                  <c:v>Session &amp; Intervention 
(Failed)</c:v>
                </c:pt>
                <c:pt idx="2">
                  <c:v>Intervention Only 
(Passed)</c:v>
                </c:pt>
                <c:pt idx="3">
                  <c:v>Intervention Only 
(Failed)</c:v>
                </c:pt>
                <c:pt idx="4">
                  <c:v>Session
Only</c:v>
                </c:pt>
                <c:pt idx="5">
                  <c:v>Neither</c:v>
                </c:pt>
              </c:strCache>
            </c:strRef>
          </c:cat>
          <c:val>
            <c:numRef>
              <c:f>CHARTS!$C$59:$C$64</c:f>
              <c:numCache>
                <c:formatCode>0%</c:formatCode>
                <c:ptCount val="6"/>
                <c:pt idx="0">
                  <c:v>0.25</c:v>
                </c:pt>
                <c:pt idx="1">
                  <c:v>0.45</c:v>
                </c:pt>
                <c:pt idx="2">
                  <c:v>0.33</c:v>
                </c:pt>
                <c:pt idx="3">
                  <c:v>0.5</c:v>
                </c:pt>
                <c:pt idx="4">
                  <c:v>0.56000000000000005</c:v>
                </c:pt>
                <c:pt idx="5">
                  <c:v>0.64</c:v>
                </c:pt>
              </c:numCache>
            </c:numRef>
          </c:val>
        </c:ser>
        <c:ser>
          <c:idx val="2"/>
          <c:order val="2"/>
          <c:tx>
            <c:v>NO CHANGE in GPA</c:v>
          </c:tx>
          <c:spPr>
            <a:pattFill prst="wdUpDiag">
              <a:fgClr>
                <a:srgbClr val="1F497D"/>
              </a:fgClr>
              <a:bgClr>
                <a:sysClr val="window" lastClr="FFFFFF"/>
              </a:bgClr>
            </a:pattFill>
            <a:ln>
              <a:solidFill>
                <a:srgbClr val="1F497D"/>
              </a:solidFill>
            </a:ln>
            <a:effectLst/>
          </c:spPr>
          <c:invertIfNegative val="0"/>
          <c:cat>
            <c:strRef>
              <c:f>CHARTS!$A$59:$A$64</c:f>
              <c:strCache>
                <c:ptCount val="6"/>
                <c:pt idx="0">
                  <c:v>Session &amp; Intervention 
(Passed)</c:v>
                </c:pt>
                <c:pt idx="1">
                  <c:v>Session &amp; Intervention 
(Failed)</c:v>
                </c:pt>
                <c:pt idx="2">
                  <c:v>Intervention Only 
(Passed)</c:v>
                </c:pt>
                <c:pt idx="3">
                  <c:v>Intervention Only 
(Failed)</c:v>
                </c:pt>
                <c:pt idx="4">
                  <c:v>Session
Only</c:v>
                </c:pt>
                <c:pt idx="5">
                  <c:v>Neither</c:v>
                </c:pt>
              </c:strCache>
            </c:strRef>
          </c:cat>
          <c:val>
            <c:numRef>
              <c:f>CHARTS!$D$59:$D$64</c:f>
              <c:numCache>
                <c:formatCode>0%</c:formatCode>
                <c:ptCount val="6"/>
                <c:pt idx="0">
                  <c:v>0</c:v>
                </c:pt>
                <c:pt idx="1">
                  <c:v>0</c:v>
                </c:pt>
                <c:pt idx="2">
                  <c:v>0.01</c:v>
                </c:pt>
                <c:pt idx="3">
                  <c:v>0.06</c:v>
                </c:pt>
                <c:pt idx="4">
                  <c:v>0.09</c:v>
                </c:pt>
                <c:pt idx="5">
                  <c:v>0.15</c:v>
                </c:pt>
              </c:numCache>
            </c:numRef>
          </c:val>
        </c:ser>
        <c:dLbls>
          <c:showLegendKey val="0"/>
          <c:showVal val="0"/>
          <c:showCatName val="0"/>
          <c:showSerName val="0"/>
          <c:showPercent val="0"/>
          <c:showBubbleSize val="0"/>
        </c:dLbls>
        <c:gapWidth val="86"/>
        <c:axId val="197219456"/>
        <c:axId val="197220992"/>
      </c:barChart>
      <c:catAx>
        <c:axId val="1972194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en-US"/>
          </a:p>
        </c:txPr>
        <c:crossAx val="197220992"/>
        <c:crosses val="autoZero"/>
        <c:auto val="1"/>
        <c:lblAlgn val="ctr"/>
        <c:lblOffset val="100"/>
        <c:noMultiLvlLbl val="0"/>
      </c:catAx>
      <c:valAx>
        <c:axId val="197220992"/>
        <c:scaling>
          <c:orientation val="minMax"/>
        </c:scaling>
        <c:delete val="0"/>
        <c:axPos val="l"/>
        <c:majorGridlines>
          <c:spPr>
            <a:ln w="9525" cap="flat" cmpd="sng" algn="ctr">
              <a:solidFill>
                <a:schemeClr val="tx1">
                  <a:lumMod val="5000"/>
                  <a:lumOff val="95000"/>
                </a:schemeClr>
              </a:solidFill>
              <a:round/>
            </a:ln>
            <a:effectLst/>
          </c:spPr>
        </c:majorGridlines>
        <c:title>
          <c:tx>
            <c:rich>
              <a:bodyPr/>
              <a:lstStyle/>
              <a:p>
                <a:pPr>
                  <a:defRPr/>
                </a:pPr>
                <a:r>
                  <a:rPr lang="en-US"/>
                  <a:t>Percent of Students</a:t>
                </a:r>
              </a:p>
            </c:rich>
          </c:tx>
          <c:layout>
            <c:manualLayout>
              <c:xMode val="edge"/>
              <c:yMode val="edge"/>
              <c:x val="2.1636506687647522E-2"/>
              <c:y val="0.23487229862475437"/>
            </c:manualLayout>
          </c:layout>
          <c:overlay val="0"/>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n-US"/>
          </a:p>
        </c:txPr>
        <c:crossAx val="197219456"/>
        <c:crosses val="autoZero"/>
        <c:crossBetween val="between"/>
      </c:valAx>
      <c:dTable>
        <c:showHorzBorder val="1"/>
        <c:showVertBorder val="1"/>
        <c:showOutline val="1"/>
        <c:showKeys val="1"/>
        <c:spPr>
          <a:noFill/>
          <a:ln w="25400">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solidFill>
            <a:sysClr val="windowText" lastClr="000000"/>
          </a:solidFill>
          <a:latin typeface="+mn-lt"/>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0.81875</cdr:y>
    </cdr:from>
    <cdr:to>
      <cdr:x>0.98092</cdr:x>
      <cdr:y>1</cdr:y>
    </cdr:to>
    <cdr:sp macro="" textlink="">
      <cdr:nvSpPr>
        <cdr:cNvPr id="2" name="TextBox 1"/>
        <cdr:cNvSpPr txBox="1"/>
      </cdr:nvSpPr>
      <cdr:spPr>
        <a:xfrm xmlns:a="http://schemas.openxmlformats.org/drawingml/2006/main">
          <a:off x="0" y="2990501"/>
          <a:ext cx="5062802" cy="6620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cp:lastPrinted>2015-06-12T19:58:00Z</cp:lastPrinted>
  <dcterms:created xsi:type="dcterms:W3CDTF">2015-09-14T13:39:00Z</dcterms:created>
  <dcterms:modified xsi:type="dcterms:W3CDTF">2015-09-14T13:39:00Z</dcterms:modified>
</cp:coreProperties>
</file>