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83C57" w14:textId="0EFB4B84" w:rsidR="00307543" w:rsidRDefault="00512C34">
      <w:r w:rsidRPr="00512C34">
        <w:rPr>
          <w:b/>
          <w:bCs/>
        </w:rPr>
        <w:t>Institution Name Task Force</w:t>
      </w:r>
      <w:r w:rsidRPr="00512C34">
        <w:t> </w:t>
      </w:r>
      <w:r w:rsidRPr="00512C34">
        <w:br/>
      </w:r>
      <w:r>
        <w:rPr>
          <w:b/>
          <w:bCs/>
        </w:rPr>
        <w:t>Minutes of the Meeting on</w:t>
      </w:r>
      <w:r w:rsidRPr="00512C34">
        <w:rPr>
          <w:b/>
          <w:bCs/>
        </w:rPr>
        <w:t>:</w:t>
      </w:r>
      <w:r w:rsidRPr="00512C34">
        <w:t> Wednesday, March 4, 2026 </w:t>
      </w:r>
      <w:r w:rsidRPr="00512C34">
        <w:br/>
      </w:r>
      <w:r w:rsidRPr="00512C34">
        <w:rPr>
          <w:b/>
          <w:bCs/>
        </w:rPr>
        <w:t>Time:</w:t>
      </w:r>
      <w:r w:rsidRPr="00512C34">
        <w:t> 2:00 – 3:30 p.m. </w:t>
      </w:r>
      <w:r w:rsidRPr="00512C34">
        <w:br/>
      </w:r>
      <w:r w:rsidRPr="00512C34">
        <w:rPr>
          <w:b/>
          <w:bCs/>
        </w:rPr>
        <w:t>Location:</w:t>
      </w:r>
      <w:r w:rsidRPr="00512C34">
        <w:t> Central Welcome Center, Room 003 </w:t>
      </w:r>
    </w:p>
    <w:p w14:paraId="6296BF9A" w14:textId="6E4E8AB8" w:rsidR="00512C34" w:rsidRDefault="00512C34">
      <w:r w:rsidRPr="00B06366">
        <w:rPr>
          <w:b/>
          <w:bCs/>
        </w:rPr>
        <w:t>Task Force Members Present:</w:t>
      </w:r>
      <w:r>
        <w:t xml:space="preserve"> L. Bigelow (Chair);</w:t>
      </w:r>
      <w:r w:rsidR="00B06366">
        <w:t xml:space="preserve"> A. Bowser</w:t>
      </w:r>
      <w:r w:rsidR="00EB1EE0">
        <w:t xml:space="preserve">; </w:t>
      </w:r>
      <w:r w:rsidR="00B06366">
        <w:t xml:space="preserve">C. Castonguay, </w:t>
      </w:r>
      <w:r w:rsidR="001D0E0E">
        <w:t xml:space="preserve">L. Hall; </w:t>
      </w:r>
      <w:r>
        <w:t>M. Jones</w:t>
      </w:r>
      <w:r w:rsidR="00EB1EE0">
        <w:t>;</w:t>
      </w:r>
      <w:r>
        <w:t xml:space="preserve"> M. Santilli</w:t>
      </w:r>
      <w:r w:rsidR="00EB1EE0">
        <w:t xml:space="preserve">; </w:t>
      </w:r>
      <w:r>
        <w:t>A. Strickland</w:t>
      </w:r>
      <w:r w:rsidR="00EB1EE0">
        <w:t>;</w:t>
      </w:r>
      <w:r w:rsidR="00B06366">
        <w:t xml:space="preserve"> H. Swanson</w:t>
      </w:r>
    </w:p>
    <w:p w14:paraId="741C8E6F" w14:textId="4039AF24" w:rsidR="007E6251" w:rsidRDefault="00AE0FDA">
      <w:r w:rsidRPr="00AE0FDA">
        <w:rPr>
          <w:b/>
          <w:bCs/>
        </w:rPr>
        <w:t>Guest</w:t>
      </w:r>
      <w:r>
        <w:t>: President Toro</w:t>
      </w:r>
    </w:p>
    <w:p w14:paraId="0A3B5B5A" w14:textId="290A19E7" w:rsidR="007E6251" w:rsidRDefault="007E6251" w:rsidP="007E6251">
      <w:pPr>
        <w:pStyle w:val="ListParagraph"/>
        <w:numPr>
          <w:ilvl w:val="0"/>
          <w:numId w:val="1"/>
        </w:numPr>
      </w:pPr>
      <w:r>
        <w:t>Chair’s welcome and introductions.</w:t>
      </w:r>
    </w:p>
    <w:p w14:paraId="5A582CF3" w14:textId="239B2A91" w:rsidR="007E6251" w:rsidRDefault="007E6251" w:rsidP="007E6251">
      <w:pPr>
        <w:pStyle w:val="ListParagraph"/>
        <w:numPr>
          <w:ilvl w:val="0"/>
          <w:numId w:val="1"/>
        </w:numPr>
      </w:pPr>
      <w:r>
        <w:t>President Toro reviewed a PowerPoint presentation on the R2 Polytechnic concept and delivered the official charge to the Task Force</w:t>
      </w:r>
      <w:r w:rsidR="00552871">
        <w:t>.</w:t>
      </w:r>
    </w:p>
    <w:p w14:paraId="31EDA084" w14:textId="376B650C" w:rsidR="00F27EFE" w:rsidRPr="00F27EFE" w:rsidRDefault="00F27EFE" w:rsidP="00F27EFE">
      <w:pPr>
        <w:ind w:left="720"/>
      </w:pPr>
      <w:r w:rsidRPr="00F27EFE">
        <w:t xml:space="preserve">The presentation provided an overview of the university’s strategic vision to advance Central as a Research 2 (R2) Polytechnic University, highlighting the institutional context, the benefits of the transformation for students, faculty, the State of Connecticut, and the broader community, and the foundational pillars supporting this initiative. </w:t>
      </w:r>
    </w:p>
    <w:p w14:paraId="4D42E116" w14:textId="77777777" w:rsidR="00F27EFE" w:rsidRPr="00F27EFE" w:rsidRDefault="00F27EFE" w:rsidP="00F27EFE">
      <w:pPr>
        <w:ind w:left="720"/>
      </w:pPr>
      <w:r w:rsidRPr="00F27EFE">
        <w:t>Key elements of the presentation included:</w:t>
      </w:r>
    </w:p>
    <w:p w14:paraId="19C1E6F4" w14:textId="77777777" w:rsidR="00F27EFE" w:rsidRPr="00F27EFE" w:rsidRDefault="00F27EFE" w:rsidP="00F27EFE">
      <w:pPr>
        <w:numPr>
          <w:ilvl w:val="0"/>
          <w:numId w:val="2"/>
        </w:numPr>
        <w:tabs>
          <w:tab w:val="clear" w:pos="720"/>
          <w:tab w:val="num" w:pos="1440"/>
        </w:tabs>
        <w:ind w:left="1440"/>
      </w:pPr>
      <w:r w:rsidRPr="00F27EFE">
        <w:t>An explanation of the R2 Carnegie research designation and the characteristics of polytechnic universities.</w:t>
      </w:r>
    </w:p>
    <w:p w14:paraId="3EC5EFF0" w14:textId="77777777" w:rsidR="00F27EFE" w:rsidRPr="00F27EFE" w:rsidRDefault="00F27EFE" w:rsidP="00F27EFE">
      <w:pPr>
        <w:numPr>
          <w:ilvl w:val="0"/>
          <w:numId w:val="2"/>
        </w:numPr>
        <w:tabs>
          <w:tab w:val="clear" w:pos="720"/>
          <w:tab w:val="num" w:pos="1440"/>
        </w:tabs>
        <w:ind w:left="1440"/>
      </w:pPr>
      <w:r w:rsidRPr="00F27EFE">
        <w:t>The anticipated benefits of the R2 polytechnic transformation for students, graduates, faculty and staff, the Connecticut State Colleges and Universities (CSCU) system, and the state economy.</w:t>
      </w:r>
    </w:p>
    <w:p w14:paraId="4A92A719" w14:textId="77777777" w:rsidR="00F27EFE" w:rsidRPr="00F27EFE" w:rsidRDefault="00F27EFE" w:rsidP="00F27EFE">
      <w:pPr>
        <w:numPr>
          <w:ilvl w:val="0"/>
          <w:numId w:val="2"/>
        </w:numPr>
        <w:tabs>
          <w:tab w:val="clear" w:pos="720"/>
          <w:tab w:val="num" w:pos="1440"/>
        </w:tabs>
        <w:ind w:left="1440"/>
      </w:pPr>
      <w:r w:rsidRPr="00F27EFE">
        <w:t>An overview of the seven strategic pillars supporting the transformation, including academic programs, applied research, community engagement, workforce development, facilities, and financial sustainability.</w:t>
      </w:r>
    </w:p>
    <w:p w14:paraId="77214CE9" w14:textId="77777777" w:rsidR="00F27EFE" w:rsidRPr="00F27EFE" w:rsidRDefault="00F27EFE" w:rsidP="00F27EFE">
      <w:pPr>
        <w:numPr>
          <w:ilvl w:val="0"/>
          <w:numId w:val="2"/>
        </w:numPr>
        <w:tabs>
          <w:tab w:val="clear" w:pos="720"/>
          <w:tab w:val="num" w:pos="1440"/>
        </w:tabs>
        <w:ind w:left="1440"/>
      </w:pPr>
      <w:r w:rsidRPr="00F27EFE">
        <w:t>A description of initiatives such as the Central Workforce and Innovation Hub, applied research clusters, and expanded experiential learning opportunities.</w:t>
      </w:r>
    </w:p>
    <w:p w14:paraId="539076E3" w14:textId="77777777" w:rsidR="00F27EFE" w:rsidRPr="00F27EFE" w:rsidRDefault="00F27EFE" w:rsidP="00F27EFE">
      <w:pPr>
        <w:numPr>
          <w:ilvl w:val="0"/>
          <w:numId w:val="2"/>
        </w:numPr>
        <w:tabs>
          <w:tab w:val="clear" w:pos="720"/>
          <w:tab w:val="num" w:pos="1440"/>
        </w:tabs>
        <w:ind w:left="1440"/>
      </w:pPr>
      <w:r w:rsidRPr="00F27EFE">
        <w:t>The role of multiple Task Forces in developing recommendations related to academic programs, partnerships, infrastructure, resource development, and institutional naming.</w:t>
      </w:r>
    </w:p>
    <w:p w14:paraId="6BCA1952" w14:textId="0A1463E1" w:rsidR="00F27EFE" w:rsidRDefault="00F27EFE" w:rsidP="00563541">
      <w:pPr>
        <w:ind w:left="720"/>
      </w:pPr>
      <w:r w:rsidRPr="00F27EFE">
        <w:t xml:space="preserve">Task Force members discussed the presentation and its implications for the work of the committee. The presentation served as the foundational briefing for the Task </w:t>
      </w:r>
      <w:r w:rsidRPr="00F27EFE">
        <w:lastRenderedPageBreak/>
        <w:t>Force’s charge, including the investigation of whether the university’s name should evolve to better reflect its emerging polytechnic identity and mission.</w:t>
      </w:r>
    </w:p>
    <w:p w14:paraId="7B91F249" w14:textId="128A136C" w:rsidR="00552B2F" w:rsidRPr="00552B2F" w:rsidRDefault="00E41E6D" w:rsidP="00552B2F">
      <w:pPr>
        <w:pStyle w:val="ListParagraph"/>
        <w:numPr>
          <w:ilvl w:val="0"/>
          <w:numId w:val="1"/>
        </w:numPr>
      </w:pPr>
      <w:r>
        <w:t xml:space="preserve">Benchmarking: </w:t>
      </w:r>
      <w:r w:rsidR="00552871">
        <w:t xml:space="preserve">L. Bigelow </w:t>
      </w:r>
      <w:r w:rsidR="00552B2F">
        <w:t>presented a PowerPoint titled</w:t>
      </w:r>
      <w:r w:rsidR="00552B2F" w:rsidRPr="00552B2F">
        <w:t xml:space="preserve"> </w:t>
      </w:r>
      <w:r w:rsidR="00552B2F" w:rsidRPr="00552B2F">
        <w:rPr>
          <w:i/>
          <w:iCs/>
        </w:rPr>
        <w:t>“Sample Inventory of Other Polytechnics,”</w:t>
      </w:r>
      <w:r w:rsidR="00552B2F" w:rsidRPr="00552B2F">
        <w:t xml:space="preserve"> </w:t>
      </w:r>
      <w:r w:rsidR="00552B2F">
        <w:t>which she prepared for the committee.</w:t>
      </w:r>
    </w:p>
    <w:p w14:paraId="2908D986" w14:textId="77777777" w:rsidR="00552B2F" w:rsidRPr="00552B2F" w:rsidRDefault="00552B2F" w:rsidP="00552B2F">
      <w:pPr>
        <w:ind w:left="720"/>
      </w:pPr>
      <w:r w:rsidRPr="00552B2F">
        <w:t xml:space="preserve">The presentation provided a comparative overview of several universities that either incorporate “polytechnic” in their institutional name or operate with a strong applied learning or polytechnic identity. The purpose of the presentation was to inform the Task Force’s consideration of institutional naming by examining how peer and benchmark institutions position and communicate a polytechnic mission. </w:t>
      </w:r>
    </w:p>
    <w:p w14:paraId="7FE61EBF" w14:textId="77777777" w:rsidR="00552B2F" w:rsidRPr="00FA77CE" w:rsidRDefault="00552B2F" w:rsidP="00552B2F">
      <w:pPr>
        <w:ind w:left="720"/>
      </w:pPr>
      <w:r w:rsidRPr="00FA77CE">
        <w:t xml:space="preserve">Examples discussed included established public polytechnic universities such as California Polytechnic State University (Cal Poly San Luis Obispo) and California State Polytechnic University, Pomona, as well as institutions that integrate polytechnic identity within broader research universities, such as Virginia Polytechnic Institute and State University (Virginia Tech). The presentation also highlighted newer or alternative models, including Florida Polytechnic University, Purdue University’s Polytechnic Institute, Rochester Institute of Technology, and Wentworth Institute of Technology, along with regional public universities that emphasize applied learning and workforce alignment without formally adopting the polytechnic designation. </w:t>
      </w:r>
    </w:p>
    <w:p w14:paraId="556E291B" w14:textId="77777777" w:rsidR="00552B2F" w:rsidRPr="00552B2F" w:rsidRDefault="00552B2F" w:rsidP="00552B2F">
      <w:pPr>
        <w:ind w:left="720"/>
      </w:pPr>
      <w:r w:rsidRPr="00552B2F">
        <w:t xml:space="preserve">The presentation concluded with several guiding questions for Task Force consideration, including the motivations behind adopting or retaining a polytechnic identity, the potential impact on enrollment and institutional reputation, how institutions communicate applied learning to external audiences, and whether any of the naming structures reviewed could inform recommendations for Central Connecticut State University. </w:t>
      </w:r>
    </w:p>
    <w:p w14:paraId="72E45EA3" w14:textId="587116B7" w:rsidR="00552B2F" w:rsidRDefault="00552B2F" w:rsidP="00552B2F">
      <w:pPr>
        <w:ind w:left="720"/>
      </w:pPr>
      <w:r w:rsidRPr="00552B2F">
        <w:t xml:space="preserve">Task Force members discussed the examples presented </w:t>
      </w:r>
      <w:r w:rsidR="00FA77CE">
        <w:t>and other</w:t>
      </w:r>
      <w:r w:rsidR="00D15C58">
        <w:t xml:space="preserve"> examples wich Task Force members had identified </w:t>
      </w:r>
      <w:r w:rsidRPr="00552B2F">
        <w:t>and considered how these comparative models might inform the committee’s work regarding potential institutional naming strategies.</w:t>
      </w:r>
    </w:p>
    <w:p w14:paraId="4E8528AA" w14:textId="1F181E58" w:rsidR="00D15C58" w:rsidRPr="00552B2F" w:rsidRDefault="00D15C58" w:rsidP="00552B2F">
      <w:pPr>
        <w:ind w:left="720"/>
      </w:pPr>
      <w:r>
        <w:t>Members of the Task Force selected</w:t>
      </w:r>
      <w:r w:rsidR="00670C99">
        <w:t xml:space="preserve"> individual schools which they would look into more deeply for report out at the first meeting after Spring Break.</w:t>
      </w:r>
    </w:p>
    <w:p w14:paraId="68A42AB4" w14:textId="20E699BA" w:rsidR="00552871" w:rsidRDefault="002C62BD" w:rsidP="007E6251">
      <w:pPr>
        <w:pStyle w:val="ListParagraph"/>
        <w:numPr>
          <w:ilvl w:val="0"/>
          <w:numId w:val="1"/>
        </w:numPr>
      </w:pPr>
      <w:r>
        <w:t>Adjournment: The meeting adjourned at 3:45 p.m.</w:t>
      </w:r>
    </w:p>
    <w:p w14:paraId="5D86327C" w14:textId="4BAD7DFF" w:rsidR="6A1DBF49" w:rsidRDefault="6A1DBF49" w:rsidP="6A1DBF49"/>
    <w:p w14:paraId="1A83D4A6" w14:textId="6432C1A4" w:rsidR="00552871" w:rsidRDefault="15343C44" w:rsidP="6A1DBF49">
      <w:pPr>
        <w:rPr>
          <w:i/>
        </w:rPr>
      </w:pPr>
      <w:r w:rsidRPr="6A1DBF49">
        <w:rPr>
          <w:i/>
          <w:iCs/>
        </w:rPr>
        <w:t>Minutes approved at the March 11, 2026 Meeting</w:t>
      </w:r>
    </w:p>
    <w:sectPr w:rsidR="0055287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B30EC" w14:textId="77777777" w:rsidR="00B7668F" w:rsidRDefault="00B7668F" w:rsidP="002C62BD">
      <w:pPr>
        <w:spacing w:after="0" w:line="240" w:lineRule="auto"/>
      </w:pPr>
      <w:r>
        <w:separator/>
      </w:r>
    </w:p>
  </w:endnote>
  <w:endnote w:type="continuationSeparator" w:id="0">
    <w:p w14:paraId="378244CB" w14:textId="77777777" w:rsidR="00B7668F" w:rsidRDefault="00B7668F" w:rsidP="002C6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2F731" w14:textId="77777777" w:rsidR="002C62BD" w:rsidRDefault="002C62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13DB" w14:textId="77777777" w:rsidR="002C62BD" w:rsidRDefault="002C62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A34FF" w14:textId="77777777" w:rsidR="002C62BD" w:rsidRDefault="002C6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DE520" w14:textId="77777777" w:rsidR="00B7668F" w:rsidRDefault="00B7668F" w:rsidP="002C62BD">
      <w:pPr>
        <w:spacing w:after="0" w:line="240" w:lineRule="auto"/>
      </w:pPr>
      <w:r>
        <w:separator/>
      </w:r>
    </w:p>
  </w:footnote>
  <w:footnote w:type="continuationSeparator" w:id="0">
    <w:p w14:paraId="647A7268" w14:textId="77777777" w:rsidR="00B7668F" w:rsidRDefault="00B7668F" w:rsidP="002C6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7971E" w14:textId="77777777" w:rsidR="002C62BD" w:rsidRDefault="002C62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287FC" w14:textId="0247C432" w:rsidR="002C62BD" w:rsidRDefault="002C62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F1FA" w14:textId="77777777" w:rsidR="002C62BD" w:rsidRDefault="002C62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24713"/>
    <w:multiLevelType w:val="hybridMultilevel"/>
    <w:tmpl w:val="2898A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7869F1"/>
    <w:multiLevelType w:val="multilevel"/>
    <w:tmpl w:val="0F5A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6707211">
    <w:abstractNumId w:val="0"/>
  </w:num>
  <w:num w:numId="2" w16cid:durableId="1567033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557"/>
    <w:rsid w:val="001D0E0E"/>
    <w:rsid w:val="00205E5B"/>
    <w:rsid w:val="002C62BD"/>
    <w:rsid w:val="00307543"/>
    <w:rsid w:val="00512C34"/>
    <w:rsid w:val="00552871"/>
    <w:rsid w:val="00552B2F"/>
    <w:rsid w:val="00563541"/>
    <w:rsid w:val="00670C99"/>
    <w:rsid w:val="007E6251"/>
    <w:rsid w:val="00A114D9"/>
    <w:rsid w:val="00A43CA8"/>
    <w:rsid w:val="00AE0FDA"/>
    <w:rsid w:val="00AF3B52"/>
    <w:rsid w:val="00B06366"/>
    <w:rsid w:val="00B7668F"/>
    <w:rsid w:val="00D15C58"/>
    <w:rsid w:val="00E41E6D"/>
    <w:rsid w:val="00E56557"/>
    <w:rsid w:val="00E90AAD"/>
    <w:rsid w:val="00EB1EE0"/>
    <w:rsid w:val="00F27EFE"/>
    <w:rsid w:val="00F61D24"/>
    <w:rsid w:val="00F669D2"/>
    <w:rsid w:val="00FA77CE"/>
    <w:rsid w:val="00FE4134"/>
    <w:rsid w:val="15343C44"/>
    <w:rsid w:val="6A1DB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A230F"/>
  <w15:chartTrackingRefBased/>
  <w15:docId w15:val="{E6EFD2FA-C691-4850-9190-AD2664D29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65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65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65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65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65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65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5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5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5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5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65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65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5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65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5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5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5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557"/>
    <w:rPr>
      <w:rFonts w:eastAsiaTheme="majorEastAsia" w:cstheme="majorBidi"/>
      <w:color w:val="272727" w:themeColor="text1" w:themeTint="D8"/>
    </w:rPr>
  </w:style>
  <w:style w:type="paragraph" w:styleId="Title">
    <w:name w:val="Title"/>
    <w:basedOn w:val="Normal"/>
    <w:next w:val="Normal"/>
    <w:link w:val="TitleChar"/>
    <w:uiPriority w:val="10"/>
    <w:qFormat/>
    <w:rsid w:val="00E56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5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5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5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557"/>
    <w:pPr>
      <w:spacing w:before="160"/>
      <w:jc w:val="center"/>
    </w:pPr>
    <w:rPr>
      <w:i/>
      <w:iCs/>
      <w:color w:val="404040" w:themeColor="text1" w:themeTint="BF"/>
    </w:rPr>
  </w:style>
  <w:style w:type="character" w:customStyle="1" w:styleId="QuoteChar">
    <w:name w:val="Quote Char"/>
    <w:basedOn w:val="DefaultParagraphFont"/>
    <w:link w:val="Quote"/>
    <w:uiPriority w:val="29"/>
    <w:rsid w:val="00E56557"/>
    <w:rPr>
      <w:i/>
      <w:iCs/>
      <w:color w:val="404040" w:themeColor="text1" w:themeTint="BF"/>
    </w:rPr>
  </w:style>
  <w:style w:type="paragraph" w:styleId="ListParagraph">
    <w:name w:val="List Paragraph"/>
    <w:basedOn w:val="Normal"/>
    <w:uiPriority w:val="34"/>
    <w:qFormat/>
    <w:rsid w:val="00E56557"/>
    <w:pPr>
      <w:ind w:left="720"/>
      <w:contextualSpacing/>
    </w:pPr>
  </w:style>
  <w:style w:type="character" w:styleId="IntenseEmphasis">
    <w:name w:val="Intense Emphasis"/>
    <w:basedOn w:val="DefaultParagraphFont"/>
    <w:uiPriority w:val="21"/>
    <w:qFormat/>
    <w:rsid w:val="00E56557"/>
    <w:rPr>
      <w:i/>
      <w:iCs/>
      <w:color w:val="0F4761" w:themeColor="accent1" w:themeShade="BF"/>
    </w:rPr>
  </w:style>
  <w:style w:type="paragraph" w:styleId="IntenseQuote">
    <w:name w:val="Intense Quote"/>
    <w:basedOn w:val="Normal"/>
    <w:next w:val="Normal"/>
    <w:link w:val="IntenseQuoteChar"/>
    <w:uiPriority w:val="30"/>
    <w:qFormat/>
    <w:rsid w:val="00E565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6557"/>
    <w:rPr>
      <w:i/>
      <w:iCs/>
      <w:color w:val="0F4761" w:themeColor="accent1" w:themeShade="BF"/>
    </w:rPr>
  </w:style>
  <w:style w:type="character" w:styleId="IntenseReference">
    <w:name w:val="Intense Reference"/>
    <w:basedOn w:val="DefaultParagraphFont"/>
    <w:uiPriority w:val="32"/>
    <w:qFormat/>
    <w:rsid w:val="00E56557"/>
    <w:rPr>
      <w:b/>
      <w:bCs/>
      <w:smallCaps/>
      <w:color w:val="0F4761" w:themeColor="accent1" w:themeShade="BF"/>
      <w:spacing w:val="5"/>
    </w:rPr>
  </w:style>
  <w:style w:type="paragraph" w:styleId="NormalWeb">
    <w:name w:val="Normal (Web)"/>
    <w:basedOn w:val="Normal"/>
    <w:uiPriority w:val="99"/>
    <w:semiHidden/>
    <w:unhideWhenUsed/>
    <w:rsid w:val="00552B2F"/>
    <w:rPr>
      <w:rFonts w:ascii="Times New Roman" w:hAnsi="Times New Roman" w:cs="Times New Roman"/>
    </w:rPr>
  </w:style>
  <w:style w:type="paragraph" w:styleId="Header">
    <w:name w:val="header"/>
    <w:basedOn w:val="Normal"/>
    <w:link w:val="HeaderChar"/>
    <w:uiPriority w:val="99"/>
    <w:unhideWhenUsed/>
    <w:rsid w:val="002C6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2BD"/>
  </w:style>
  <w:style w:type="paragraph" w:styleId="Footer">
    <w:name w:val="footer"/>
    <w:basedOn w:val="Normal"/>
    <w:link w:val="FooterChar"/>
    <w:uiPriority w:val="99"/>
    <w:unhideWhenUsed/>
    <w:rsid w:val="002C6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DF97DE383D7145AC4AA7BD68CDF2C0" ma:contentTypeVersion="3" ma:contentTypeDescription="Create a new document." ma:contentTypeScope="" ma:versionID="03f8d64974b08686a6000a97b5e74d6f">
  <xsd:schema xmlns:xsd="http://www.w3.org/2001/XMLSchema" xmlns:xs="http://www.w3.org/2001/XMLSchema" xmlns:p="http://schemas.microsoft.com/office/2006/metadata/properties" xmlns:ns2="6049044b-1448-427b-9295-fe425177e9f8" targetNamespace="http://schemas.microsoft.com/office/2006/metadata/properties" ma:root="true" ma:fieldsID="6574f1894e4c7d5fb4db3ece4102266d" ns2:_="">
    <xsd:import namespace="6049044b-1448-427b-9295-fe425177e9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9044b-1448-427b-9295-fe425177e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D5DDCE-8497-4F9E-94CE-E8E716AFC44F}">
  <ds:schemaRefs>
    <ds:schemaRef ds:uri="http://schemas.microsoft.com/sharepoint/v3/contenttype/forms"/>
  </ds:schemaRefs>
</ds:datastoreItem>
</file>

<file path=customXml/itemProps2.xml><?xml version="1.0" encoding="utf-8"?>
<ds:datastoreItem xmlns:ds="http://schemas.openxmlformats.org/officeDocument/2006/customXml" ds:itemID="{9904F1B9-9434-4919-A0C6-BF6680241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9044b-1448-427b-9295-fe425177e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A3B3DA-19CC-4D21-B577-C5055695097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fcba52-c02e-499b-ad96-4f9d05855f39}" enabled="1" method="Standard" siteId="{2329c570-b580-4223-803b-427d800e81b6}" removed="0"/>
</clbl:labelList>
</file>

<file path=docProps/app.xml><?xml version="1.0" encoding="utf-8"?>
<Properties xmlns="http://schemas.openxmlformats.org/officeDocument/2006/extended-properties" xmlns:vt="http://schemas.openxmlformats.org/officeDocument/2006/docPropsVTypes">
  <Template>Normal</Template>
  <TotalTime>25</TotalTime>
  <Pages>2</Pages>
  <Words>563</Words>
  <Characters>3653</Characters>
  <Application>Microsoft Office Word</Application>
  <DocSecurity>0</DocSecurity>
  <Lines>67</Lines>
  <Paragraphs>24</Paragraphs>
  <ScaleCrop>false</ScaleCrop>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Bigelow, Lisa (Institutional Advancement)</dc:creator>
  <cp:keywords/>
  <dc:description/>
  <cp:lastModifiedBy>Bigelow, Lisa (Institutional Advancement)</cp:lastModifiedBy>
  <cp:revision>20</cp:revision>
  <dcterms:created xsi:type="dcterms:W3CDTF">2026-03-11T16:32:00Z</dcterms:created>
  <dcterms:modified xsi:type="dcterms:W3CDTF">2026-03-12T12:26:00Z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0x0101005DDF97DE383D7145AC4AA7BD68CDF2C0</vt:lpwstr>
  </property>
</Properties>
</file>