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A47E" w14:textId="64BF9DBF" w:rsidR="00A60DE9" w:rsidRDefault="00321C4C" w:rsidP="00321C4C">
      <w:pPr>
        <w:pStyle w:val="ListParagraph"/>
        <w:numPr>
          <w:ilvl w:val="0"/>
          <w:numId w:val="47"/>
        </w:numPr>
        <w:jc w:val="both"/>
      </w:pPr>
      <w:r>
        <w:t>This document is intended only as a guide and should not be construed as a rubri</w:t>
      </w:r>
      <w:r w:rsidR="00811669">
        <w:t>c</w:t>
      </w:r>
      <w:r>
        <w:t xml:space="preserve"> or list </w:t>
      </w:r>
      <w:r w:rsidR="003A60CD">
        <w:t xml:space="preserve">                                                                                                                                                                                                  </w:t>
      </w:r>
      <w:r>
        <w:t>o</w:t>
      </w:r>
      <w:r w:rsidR="0052229F">
        <w:t>f requirements.</w:t>
      </w:r>
    </w:p>
    <w:p w14:paraId="4B24D756" w14:textId="38CE8755" w:rsidR="00CB4CB2" w:rsidRDefault="00CB4CB2" w:rsidP="00321C4C">
      <w:pPr>
        <w:pStyle w:val="ListParagraph"/>
        <w:numPr>
          <w:ilvl w:val="0"/>
          <w:numId w:val="47"/>
        </w:numPr>
        <w:jc w:val="both"/>
      </w:pPr>
      <w:r>
        <w:t xml:space="preserve">All guidelines in this document </w:t>
      </w:r>
      <w:r w:rsidR="00C35CEB">
        <w:t>can be superseded by comparable standards as defined in the Collective Bargaining Agreement (CBA).</w:t>
      </w:r>
    </w:p>
    <w:p w14:paraId="44950850" w14:textId="35459669" w:rsidR="00AB5B07" w:rsidRDefault="00561736" w:rsidP="0007607B">
      <w:pPr>
        <w:pStyle w:val="ListParagraph"/>
        <w:numPr>
          <w:ilvl w:val="0"/>
          <w:numId w:val="47"/>
        </w:numPr>
        <w:jc w:val="both"/>
      </w:pPr>
      <w:r>
        <w:t>A</w:t>
      </w:r>
      <w:r w:rsidR="00AB5B07">
        <w:t>ll guidelines expect a level of activity commensurate with rank.</w:t>
      </w:r>
    </w:p>
    <w:p w14:paraId="1F072F13" w14:textId="77777777" w:rsidR="00A60DE9" w:rsidRPr="0007607B" w:rsidRDefault="00A60DE9" w:rsidP="0007607B">
      <w:pPr>
        <w:ind w:left="360"/>
        <w:jc w:val="both"/>
        <w:rPr>
          <w:szCs w:val="24"/>
        </w:rPr>
      </w:pPr>
    </w:p>
    <w:p w14:paraId="73E8FAF0" w14:textId="2AA2AD23" w:rsidR="00F810A0" w:rsidRPr="00EE0083" w:rsidRDefault="00F40CD3" w:rsidP="00E301E0">
      <w:pPr>
        <w:numPr>
          <w:ilvl w:val="0"/>
          <w:numId w:val="33"/>
        </w:numPr>
        <w:ind w:left="360"/>
        <w:jc w:val="both"/>
        <w:rPr>
          <w:szCs w:val="24"/>
        </w:rPr>
      </w:pPr>
      <w:r w:rsidRPr="00EE0083">
        <w:rPr>
          <w:szCs w:val="24"/>
        </w:rPr>
        <w:t>Expectations of all Faculty</w:t>
      </w:r>
    </w:p>
    <w:p w14:paraId="13BF808C" w14:textId="0D44E7AC" w:rsidR="007D5F52" w:rsidRPr="00730E1F" w:rsidRDefault="003C0DAF" w:rsidP="004A6A88">
      <w:pPr>
        <w:numPr>
          <w:ilvl w:val="1"/>
          <w:numId w:val="33"/>
        </w:numPr>
        <w:ind w:left="810"/>
        <w:jc w:val="both"/>
        <w:rPr>
          <w:szCs w:val="24"/>
        </w:rPr>
      </w:pPr>
      <w:r w:rsidRPr="00730E1F">
        <w:rPr>
          <w:szCs w:val="24"/>
        </w:rPr>
        <w:t xml:space="preserve">Hold a </w:t>
      </w:r>
      <w:r w:rsidR="00F83AF2" w:rsidRPr="00730E1F">
        <w:rPr>
          <w:szCs w:val="24"/>
        </w:rPr>
        <w:t xml:space="preserve">terminal </w:t>
      </w:r>
      <w:r w:rsidR="00C4293C" w:rsidRPr="00730E1F">
        <w:rPr>
          <w:szCs w:val="24"/>
        </w:rPr>
        <w:t>degree in the field related to their teaching.</w:t>
      </w:r>
      <w:r w:rsidR="00E25EBA" w:rsidRPr="00730E1F">
        <w:t xml:space="preserve"> </w:t>
      </w:r>
      <w:r w:rsidR="007D5F52" w:rsidRPr="00730E1F">
        <w:t xml:space="preserve">Common terminal degrees include </w:t>
      </w:r>
      <w:r w:rsidR="00E4004B" w:rsidRPr="00730E1F">
        <w:t xml:space="preserve">doctoral degrees in accounting or </w:t>
      </w:r>
      <w:r w:rsidR="00F27E6E" w:rsidRPr="00730E1F">
        <w:t>closely-related discipline (PhD or DBA, a graduate deg</w:t>
      </w:r>
      <w:r w:rsidR="00F16B44" w:rsidRPr="00730E1F">
        <w:t>ree in law (LLM) and/or taxat</w:t>
      </w:r>
      <w:r w:rsidR="003C73D8" w:rsidRPr="00730E1F">
        <w:t>ion</w:t>
      </w:r>
      <w:r w:rsidR="00A03BFB" w:rsidRPr="00730E1F">
        <w:t xml:space="preserve"> (MST), a law degree (LLM, JD) for those teaching courses related to law or aspects related to the legal environment of business.</w:t>
      </w:r>
    </w:p>
    <w:p w14:paraId="23A232C8" w14:textId="4DF72002" w:rsidR="00863FC8" w:rsidRPr="00730E1F" w:rsidRDefault="00863FC8" w:rsidP="0007607B">
      <w:pPr>
        <w:ind w:left="810" w:firstLine="54"/>
        <w:jc w:val="both"/>
        <w:rPr>
          <w:szCs w:val="24"/>
        </w:rPr>
      </w:pPr>
      <w:r w:rsidRPr="00730E1F">
        <w:t xml:space="preserve">Additional terminal degrees may also be appropriate when the degree is closely related to the </w:t>
      </w:r>
      <w:r w:rsidR="00570221" w:rsidRPr="00730E1F">
        <w:t xml:space="preserve">courses the faculty is </w:t>
      </w:r>
      <w:r w:rsidRPr="00730E1F">
        <w:t>teaching</w:t>
      </w:r>
      <w:r w:rsidR="00570221" w:rsidRPr="00730E1F">
        <w:t xml:space="preserve"> e.g., analytics, technology</w:t>
      </w:r>
      <w:r w:rsidR="00EE0083" w:rsidRPr="00730E1F">
        <w:t>.</w:t>
      </w:r>
    </w:p>
    <w:p w14:paraId="24883573" w14:textId="15384B03" w:rsidR="00095232" w:rsidRPr="00730E1F" w:rsidRDefault="004D45DC" w:rsidP="004A6A88">
      <w:pPr>
        <w:numPr>
          <w:ilvl w:val="1"/>
          <w:numId w:val="33"/>
        </w:numPr>
        <w:ind w:left="810"/>
        <w:jc w:val="both"/>
        <w:rPr>
          <w:szCs w:val="24"/>
        </w:rPr>
      </w:pPr>
      <w:r w:rsidRPr="00730E1F">
        <w:rPr>
          <w:szCs w:val="24"/>
        </w:rPr>
        <w:t xml:space="preserve">Develop and </w:t>
      </w:r>
      <w:r w:rsidR="00EA3692" w:rsidRPr="00730E1F">
        <w:rPr>
          <w:szCs w:val="24"/>
        </w:rPr>
        <w:t>t</w:t>
      </w:r>
      <w:r w:rsidR="00095232" w:rsidRPr="00730E1F">
        <w:rPr>
          <w:szCs w:val="24"/>
        </w:rPr>
        <w:t>each courses in the</w:t>
      </w:r>
      <w:r w:rsidR="00EA3692" w:rsidRPr="00730E1F">
        <w:rPr>
          <w:szCs w:val="24"/>
        </w:rPr>
        <w:t>ir</w:t>
      </w:r>
      <w:r w:rsidR="00192207" w:rsidRPr="00730E1F">
        <w:rPr>
          <w:szCs w:val="24"/>
        </w:rPr>
        <w:t xml:space="preserve"> specialty </w:t>
      </w:r>
      <w:r w:rsidR="00095232" w:rsidRPr="00730E1F">
        <w:rPr>
          <w:szCs w:val="24"/>
        </w:rPr>
        <w:t>area</w:t>
      </w:r>
      <w:r w:rsidR="005C74A4" w:rsidRPr="00730E1F">
        <w:rPr>
          <w:szCs w:val="24"/>
        </w:rPr>
        <w:t>s</w:t>
      </w:r>
      <w:r w:rsidR="00095232" w:rsidRPr="00730E1F">
        <w:rPr>
          <w:szCs w:val="24"/>
        </w:rPr>
        <w:t xml:space="preserve"> of accounting</w:t>
      </w:r>
      <w:r w:rsidR="005C74A4" w:rsidRPr="00730E1F">
        <w:rPr>
          <w:szCs w:val="24"/>
        </w:rPr>
        <w:t xml:space="preserve"> a</w:t>
      </w:r>
      <w:r w:rsidR="00C73C4C" w:rsidRPr="00730E1F">
        <w:rPr>
          <w:szCs w:val="24"/>
        </w:rPr>
        <w:t>nd accounting</w:t>
      </w:r>
      <w:r w:rsidR="000F4523" w:rsidRPr="00730E1F">
        <w:rPr>
          <w:szCs w:val="24"/>
        </w:rPr>
        <w:t>-</w:t>
      </w:r>
      <w:r w:rsidR="00C73C4C" w:rsidRPr="00730E1F">
        <w:rPr>
          <w:szCs w:val="24"/>
        </w:rPr>
        <w:t>related field</w:t>
      </w:r>
      <w:r w:rsidR="000F4523" w:rsidRPr="00730E1F">
        <w:rPr>
          <w:szCs w:val="24"/>
        </w:rPr>
        <w:t>s</w:t>
      </w:r>
      <w:r w:rsidR="002643E6" w:rsidRPr="00730E1F">
        <w:rPr>
          <w:szCs w:val="24"/>
        </w:rPr>
        <w:t>.</w:t>
      </w:r>
    </w:p>
    <w:p w14:paraId="1A5B5E18" w14:textId="7D8EDC06" w:rsidR="00FE415D" w:rsidRPr="00730E1F" w:rsidRDefault="00FE415D" w:rsidP="004A6A88">
      <w:pPr>
        <w:numPr>
          <w:ilvl w:val="1"/>
          <w:numId w:val="33"/>
        </w:numPr>
        <w:ind w:left="810"/>
        <w:jc w:val="both"/>
        <w:rPr>
          <w:szCs w:val="24"/>
        </w:rPr>
      </w:pPr>
      <w:r w:rsidRPr="00730E1F">
        <w:rPr>
          <w:szCs w:val="24"/>
        </w:rPr>
        <w:t>Engage in creative activity appropriate to their field</w:t>
      </w:r>
      <w:r w:rsidR="008933A5" w:rsidRPr="00730E1F">
        <w:rPr>
          <w:szCs w:val="24"/>
        </w:rPr>
        <w:t>.</w:t>
      </w:r>
    </w:p>
    <w:p w14:paraId="3307D2B9" w14:textId="39162C00" w:rsidR="008933A5" w:rsidRPr="00730E1F" w:rsidRDefault="008933A5" w:rsidP="004A6A88">
      <w:pPr>
        <w:numPr>
          <w:ilvl w:val="1"/>
          <w:numId w:val="33"/>
        </w:numPr>
        <w:ind w:left="810"/>
        <w:jc w:val="both"/>
        <w:rPr>
          <w:szCs w:val="24"/>
        </w:rPr>
      </w:pPr>
      <w:r w:rsidRPr="00730E1F">
        <w:rPr>
          <w:szCs w:val="24"/>
        </w:rPr>
        <w:t>Provide productive service activity to the Department, School, University, and Profession.</w:t>
      </w:r>
    </w:p>
    <w:p w14:paraId="5AA7D9A6" w14:textId="4F7F6AC4" w:rsidR="008933A5" w:rsidRPr="00730E1F" w:rsidRDefault="008933A5" w:rsidP="004A6A88">
      <w:pPr>
        <w:numPr>
          <w:ilvl w:val="1"/>
          <w:numId w:val="33"/>
        </w:numPr>
        <w:ind w:left="810"/>
        <w:jc w:val="both"/>
        <w:rPr>
          <w:szCs w:val="24"/>
        </w:rPr>
      </w:pPr>
      <w:r w:rsidRPr="00730E1F">
        <w:rPr>
          <w:szCs w:val="24"/>
        </w:rPr>
        <w:t>Mentor and advise students</w:t>
      </w:r>
      <w:r w:rsidR="00E35D39">
        <w:rPr>
          <w:szCs w:val="24"/>
        </w:rPr>
        <w:t xml:space="preserve"> through educational goal and career planning (i.e. resume review, interview preparedness)</w:t>
      </w:r>
      <w:r w:rsidR="006C117B" w:rsidRPr="00730E1F">
        <w:rPr>
          <w:szCs w:val="24"/>
        </w:rPr>
        <w:t>.</w:t>
      </w:r>
    </w:p>
    <w:p w14:paraId="58BDFF44" w14:textId="27E80CA0" w:rsidR="006C117B" w:rsidRPr="00730E1F" w:rsidRDefault="006C117B" w:rsidP="004A6A88">
      <w:pPr>
        <w:numPr>
          <w:ilvl w:val="1"/>
          <w:numId w:val="33"/>
        </w:numPr>
        <w:ind w:left="810"/>
        <w:jc w:val="both"/>
        <w:rPr>
          <w:szCs w:val="24"/>
        </w:rPr>
      </w:pPr>
      <w:r w:rsidRPr="00730E1F">
        <w:rPr>
          <w:szCs w:val="24"/>
        </w:rPr>
        <w:t>Practice intellectual and academic honesty, to behave in a collegial and ethical manner, and to undertake creative</w:t>
      </w:r>
      <w:r w:rsidR="00BC31D4" w:rsidRPr="00730E1F">
        <w:rPr>
          <w:szCs w:val="24"/>
        </w:rPr>
        <w:t xml:space="preserve"> activity endeavors in an ethical manner.</w:t>
      </w:r>
    </w:p>
    <w:p w14:paraId="084B2FE8" w14:textId="272F7065" w:rsidR="00BC31D4" w:rsidRPr="00730E1F" w:rsidRDefault="00BC31D4" w:rsidP="004A6A88">
      <w:pPr>
        <w:numPr>
          <w:ilvl w:val="1"/>
          <w:numId w:val="33"/>
        </w:numPr>
        <w:ind w:left="810"/>
        <w:jc w:val="both"/>
        <w:rPr>
          <w:szCs w:val="24"/>
        </w:rPr>
      </w:pPr>
      <w:r w:rsidRPr="00730E1F">
        <w:rPr>
          <w:szCs w:val="24"/>
        </w:rPr>
        <w:t>In addition to the above items, contribute positively to student, Department, School</w:t>
      </w:r>
      <w:r w:rsidR="0017306A" w:rsidRPr="00730E1F">
        <w:rPr>
          <w:szCs w:val="24"/>
        </w:rPr>
        <w:t>, and University development; continue to grow as a professor at CCSU.</w:t>
      </w:r>
    </w:p>
    <w:p w14:paraId="728952C5" w14:textId="77777777" w:rsidR="0017306A" w:rsidRPr="0007607B" w:rsidRDefault="0017306A" w:rsidP="0007607B">
      <w:pPr>
        <w:ind w:left="810"/>
        <w:jc w:val="both"/>
        <w:rPr>
          <w:color w:val="0070C0"/>
          <w:szCs w:val="24"/>
        </w:rPr>
      </w:pPr>
    </w:p>
    <w:p w14:paraId="22C7524E" w14:textId="7FC99869" w:rsidR="004D3371" w:rsidRPr="005977F1" w:rsidRDefault="00DE3E37" w:rsidP="00E301E0">
      <w:pPr>
        <w:numPr>
          <w:ilvl w:val="0"/>
          <w:numId w:val="33"/>
        </w:numPr>
        <w:ind w:left="360"/>
        <w:jc w:val="both"/>
        <w:rPr>
          <w:szCs w:val="24"/>
        </w:rPr>
      </w:pPr>
      <w:r w:rsidRPr="005977F1">
        <w:rPr>
          <w:b/>
          <w:szCs w:val="24"/>
        </w:rPr>
        <w:t>Evaluation of full-time faculty members for renewal, tenure, and promotion</w:t>
      </w:r>
    </w:p>
    <w:p w14:paraId="53AD2E86" w14:textId="77777777" w:rsidR="00EC55A3" w:rsidRDefault="00307B61" w:rsidP="00E301E0">
      <w:pPr>
        <w:ind w:left="360"/>
        <w:jc w:val="both"/>
        <w:rPr>
          <w:szCs w:val="24"/>
        </w:rPr>
      </w:pPr>
      <w:r w:rsidRPr="005977F1">
        <w:rPr>
          <w:szCs w:val="24"/>
        </w:rPr>
        <w:t xml:space="preserve">Consistent with the </w:t>
      </w:r>
      <w:r w:rsidR="004D330E" w:rsidRPr="005977F1">
        <w:rPr>
          <w:szCs w:val="24"/>
        </w:rPr>
        <w:t>AAUP Collective Bargaining Agreement (AAUP-CBA)</w:t>
      </w:r>
      <w:r w:rsidRPr="005977F1">
        <w:rPr>
          <w:szCs w:val="24"/>
        </w:rPr>
        <w:t>, load credit (e.g. teaching) is considered first, then creative activity, productive service and professional activities in order. Each of these requirements is described in detail below.</w:t>
      </w:r>
    </w:p>
    <w:p w14:paraId="35DEA502" w14:textId="77777777" w:rsidR="006373CB" w:rsidRPr="005977F1" w:rsidRDefault="006373CB" w:rsidP="00E301E0">
      <w:pPr>
        <w:ind w:left="360"/>
        <w:jc w:val="both"/>
        <w:rPr>
          <w:szCs w:val="24"/>
        </w:rPr>
      </w:pPr>
    </w:p>
    <w:p w14:paraId="261D2AA8" w14:textId="77777777" w:rsidR="00307B61" w:rsidRPr="005977F1" w:rsidRDefault="00307B61" w:rsidP="00E301E0">
      <w:pPr>
        <w:numPr>
          <w:ilvl w:val="0"/>
          <w:numId w:val="30"/>
        </w:numPr>
        <w:ind w:left="720"/>
        <w:jc w:val="both"/>
        <w:rPr>
          <w:szCs w:val="24"/>
        </w:rPr>
      </w:pPr>
      <w:r w:rsidRPr="005977F1">
        <w:rPr>
          <w:szCs w:val="24"/>
        </w:rPr>
        <w:t>First Year Renewal.</w:t>
      </w:r>
    </w:p>
    <w:p w14:paraId="2F65CBED" w14:textId="77777777" w:rsidR="00696EA7" w:rsidRPr="00696EA7" w:rsidRDefault="00DE3E37" w:rsidP="0054018F">
      <w:pPr>
        <w:numPr>
          <w:ilvl w:val="2"/>
          <w:numId w:val="31"/>
        </w:numPr>
        <w:ind w:left="1267" w:hanging="360"/>
        <w:jc w:val="both"/>
      </w:pPr>
      <w:r w:rsidRPr="009A6796">
        <w:rPr>
          <w:szCs w:val="24"/>
        </w:rPr>
        <w:t xml:space="preserve">First-year faculty members </w:t>
      </w:r>
      <w:r w:rsidR="00307B61" w:rsidRPr="009A6796">
        <w:rPr>
          <w:szCs w:val="24"/>
        </w:rPr>
        <w:t>will prepare a portfolio of their professional work</w:t>
      </w:r>
      <w:r w:rsidR="002F684C" w:rsidRPr="009A6796">
        <w:rPr>
          <w:szCs w:val="24"/>
        </w:rPr>
        <w:t xml:space="preserve"> in the format prescribed by the Faculty Senate Guidelines. </w:t>
      </w:r>
      <w:r w:rsidR="00DD16FA" w:rsidRPr="009A6796">
        <w:rPr>
          <w:szCs w:val="24"/>
        </w:rPr>
        <w:t>First-</w:t>
      </w:r>
      <w:r w:rsidR="002F684C" w:rsidRPr="009A6796">
        <w:rPr>
          <w:szCs w:val="24"/>
        </w:rPr>
        <w:t>year faculty will be evaluated primarily on their teaching.</w:t>
      </w:r>
    </w:p>
    <w:p w14:paraId="494EA284" w14:textId="2521D997" w:rsidR="00696EA7" w:rsidRPr="00696EA7" w:rsidRDefault="00696EA7" w:rsidP="0054018F">
      <w:pPr>
        <w:numPr>
          <w:ilvl w:val="2"/>
          <w:numId w:val="31"/>
        </w:numPr>
        <w:ind w:left="1267" w:hanging="360"/>
        <w:jc w:val="both"/>
      </w:pPr>
      <w:r>
        <w:rPr>
          <w:szCs w:val="24"/>
        </w:rPr>
        <w:t>Load Credit Activity</w:t>
      </w:r>
      <w:r w:rsidR="00B02FFD">
        <w:rPr>
          <w:szCs w:val="24"/>
        </w:rPr>
        <w:t xml:space="preserve">. </w:t>
      </w:r>
      <w:r w:rsidR="002F684C" w:rsidRPr="009A6796">
        <w:rPr>
          <w:szCs w:val="24"/>
        </w:rPr>
        <w:t>The portfolio shall</w:t>
      </w:r>
      <w:r w:rsidR="00307B61" w:rsidRPr="009A6796">
        <w:rPr>
          <w:szCs w:val="24"/>
        </w:rPr>
        <w:t xml:space="preserve"> provide evidence of </w:t>
      </w:r>
      <w:r w:rsidR="00236DE3">
        <w:rPr>
          <w:szCs w:val="24"/>
        </w:rPr>
        <w:t>high</w:t>
      </w:r>
      <w:r w:rsidR="00347415">
        <w:rPr>
          <w:szCs w:val="24"/>
        </w:rPr>
        <w:t>-</w:t>
      </w:r>
      <w:r w:rsidR="00236DE3">
        <w:rPr>
          <w:szCs w:val="24"/>
        </w:rPr>
        <w:t>quality</w:t>
      </w:r>
      <w:r w:rsidR="00236DE3" w:rsidRPr="009A6796">
        <w:rPr>
          <w:szCs w:val="24"/>
        </w:rPr>
        <w:t xml:space="preserve"> </w:t>
      </w:r>
      <w:r w:rsidR="00307B61" w:rsidRPr="009A6796">
        <w:rPr>
          <w:szCs w:val="24"/>
        </w:rPr>
        <w:t>preparation for t</w:t>
      </w:r>
      <w:r w:rsidR="00DE3E37" w:rsidRPr="009A6796">
        <w:rPr>
          <w:szCs w:val="24"/>
        </w:rPr>
        <w:t>heir teaching responsibilities</w:t>
      </w:r>
      <w:r>
        <w:rPr>
          <w:szCs w:val="24"/>
        </w:rPr>
        <w:t xml:space="preserve"> and commitment to developing quality teaching practices</w:t>
      </w:r>
      <w:r w:rsidR="00236DE3">
        <w:rPr>
          <w:szCs w:val="24"/>
        </w:rPr>
        <w:t xml:space="preserve">. Evaluation of faculty will include quantitative student opinion surveys, peer teaching evaluation, unedited comments from student opinion surveys, and information regarding </w:t>
      </w:r>
      <w:r>
        <w:rPr>
          <w:szCs w:val="24"/>
        </w:rPr>
        <w:t xml:space="preserve">the course content, activities, grading, etc. </w:t>
      </w:r>
      <w:r w:rsidR="00DE3E37" w:rsidRPr="009A6796">
        <w:rPr>
          <w:szCs w:val="24"/>
        </w:rPr>
        <w:t xml:space="preserve"> </w:t>
      </w:r>
    </w:p>
    <w:p w14:paraId="63D97213" w14:textId="21469872" w:rsidR="0090747E" w:rsidRDefault="00696EA7" w:rsidP="0054018F">
      <w:pPr>
        <w:numPr>
          <w:ilvl w:val="2"/>
          <w:numId w:val="31"/>
        </w:numPr>
        <w:ind w:left="1267" w:hanging="360"/>
        <w:jc w:val="both"/>
      </w:pPr>
      <w:r>
        <w:rPr>
          <w:szCs w:val="24"/>
        </w:rPr>
        <w:t xml:space="preserve">Creative Activity. </w:t>
      </w:r>
      <w:r w:rsidR="00CF7426">
        <w:t xml:space="preserve">The Department </w:t>
      </w:r>
      <w:r w:rsidR="00770F49">
        <w:t xml:space="preserve">expects new faculty </w:t>
      </w:r>
      <w:r w:rsidR="001C6D77">
        <w:t>to provide a well-defined research plan, which should be included in the materials submitted for renewal</w:t>
      </w:r>
      <w:r w:rsidR="009A1451">
        <w:t xml:space="preserve">. The </w:t>
      </w:r>
      <w:r w:rsidR="00280C4C">
        <w:t xml:space="preserve">Department expects all faculty </w:t>
      </w:r>
      <w:r w:rsidR="0020212C">
        <w:t>to engage in scholarly and creative activities relate to the field of Accounting and Accounting-related fields.</w:t>
      </w:r>
    </w:p>
    <w:p w14:paraId="305ACB62" w14:textId="56CF3A7E" w:rsidR="001D72F3" w:rsidRPr="009A6796" w:rsidRDefault="00696EA7">
      <w:pPr>
        <w:numPr>
          <w:ilvl w:val="2"/>
          <w:numId w:val="31"/>
        </w:numPr>
        <w:ind w:left="1267" w:hanging="360"/>
        <w:jc w:val="both"/>
        <w:rPr>
          <w:szCs w:val="24"/>
        </w:rPr>
      </w:pPr>
      <w:r>
        <w:rPr>
          <w:szCs w:val="24"/>
        </w:rPr>
        <w:lastRenderedPageBreak/>
        <w:t xml:space="preserve">Productive Service. </w:t>
      </w:r>
      <w:r w:rsidR="00FB3527">
        <w:rPr>
          <w:szCs w:val="24"/>
        </w:rPr>
        <w:t>First</w:t>
      </w:r>
      <w:r w:rsidR="00E76BD7">
        <w:rPr>
          <w:szCs w:val="24"/>
        </w:rPr>
        <w:t xml:space="preserve"> year faculty are encouraged to participate in productive</w:t>
      </w:r>
      <w:r w:rsidR="007F187B">
        <w:rPr>
          <w:szCs w:val="24"/>
        </w:rPr>
        <w:t xml:space="preserve"> service</w:t>
      </w:r>
      <w:r w:rsidR="00547F66">
        <w:rPr>
          <w:szCs w:val="24"/>
        </w:rPr>
        <w:t xml:space="preserve"> and </w:t>
      </w:r>
      <w:r w:rsidR="007F187B">
        <w:rPr>
          <w:szCs w:val="24"/>
        </w:rPr>
        <w:t>professional activities</w:t>
      </w:r>
      <w:r w:rsidR="00547F66">
        <w:rPr>
          <w:szCs w:val="24"/>
        </w:rPr>
        <w:t>.</w:t>
      </w:r>
    </w:p>
    <w:p w14:paraId="27FA3758" w14:textId="520D7BDC" w:rsidR="0090747E" w:rsidRPr="0090747E" w:rsidRDefault="00E048C2" w:rsidP="00E301E0">
      <w:pPr>
        <w:numPr>
          <w:ilvl w:val="2"/>
          <w:numId w:val="31"/>
        </w:numPr>
        <w:ind w:left="1267" w:hanging="360"/>
        <w:jc w:val="both"/>
        <w:rPr>
          <w:szCs w:val="24"/>
        </w:rPr>
      </w:pPr>
      <w:r>
        <w:rPr>
          <w:szCs w:val="24"/>
        </w:rPr>
        <w:t>For clarification, comments, and concerns</w:t>
      </w:r>
      <w:r w:rsidR="00852D18">
        <w:rPr>
          <w:szCs w:val="24"/>
        </w:rPr>
        <w:t>, faculty are encouraged to talk with the Chair of the DEC</w:t>
      </w:r>
      <w:r w:rsidR="005515D4">
        <w:rPr>
          <w:szCs w:val="24"/>
        </w:rPr>
        <w:t xml:space="preserve"> and </w:t>
      </w:r>
      <w:r w:rsidR="00852D18">
        <w:rPr>
          <w:szCs w:val="24"/>
        </w:rPr>
        <w:t>Department Chairperson</w:t>
      </w:r>
      <w:r w:rsidR="005515D4">
        <w:rPr>
          <w:szCs w:val="24"/>
        </w:rPr>
        <w:t xml:space="preserve">. </w:t>
      </w:r>
      <w:r w:rsidR="0090747E" w:rsidRPr="0090747E">
        <w:rPr>
          <w:szCs w:val="24"/>
        </w:rPr>
        <w:t>Tenure-track faculty members will be provided with a mentor</w:t>
      </w:r>
      <w:r w:rsidR="005515D4">
        <w:rPr>
          <w:szCs w:val="24"/>
        </w:rPr>
        <w:t xml:space="preserve"> and are and encouraged to stay in contact with their mentor.</w:t>
      </w:r>
    </w:p>
    <w:p w14:paraId="4529E8C9" w14:textId="77777777" w:rsidR="005977F1" w:rsidRPr="005977F1" w:rsidRDefault="005977F1" w:rsidP="00E301E0">
      <w:pPr>
        <w:ind w:left="1267"/>
        <w:jc w:val="both"/>
        <w:rPr>
          <w:szCs w:val="24"/>
        </w:rPr>
      </w:pPr>
    </w:p>
    <w:p w14:paraId="73D43B3C" w14:textId="77777777" w:rsidR="00307B61" w:rsidRPr="005977F1" w:rsidRDefault="00307B61" w:rsidP="00E301E0">
      <w:pPr>
        <w:numPr>
          <w:ilvl w:val="0"/>
          <w:numId w:val="30"/>
        </w:numPr>
        <w:ind w:left="720"/>
        <w:jc w:val="both"/>
        <w:rPr>
          <w:szCs w:val="24"/>
        </w:rPr>
      </w:pPr>
      <w:r w:rsidRPr="005977F1">
        <w:rPr>
          <w:szCs w:val="24"/>
        </w:rPr>
        <w:t>Annual Renewal</w:t>
      </w:r>
      <w:r w:rsidR="002F684C" w:rsidRPr="005977F1">
        <w:rPr>
          <w:szCs w:val="24"/>
        </w:rPr>
        <w:t xml:space="preserve"> (2</w:t>
      </w:r>
      <w:r w:rsidR="002F684C" w:rsidRPr="005977F1">
        <w:rPr>
          <w:szCs w:val="24"/>
          <w:vertAlign w:val="superscript"/>
        </w:rPr>
        <w:t>nd</w:t>
      </w:r>
      <w:r w:rsidR="002F684C" w:rsidRPr="005977F1">
        <w:rPr>
          <w:szCs w:val="24"/>
        </w:rPr>
        <w:t xml:space="preserve"> year through 5</w:t>
      </w:r>
      <w:r w:rsidR="002F684C" w:rsidRPr="005977F1">
        <w:rPr>
          <w:szCs w:val="24"/>
          <w:vertAlign w:val="superscript"/>
        </w:rPr>
        <w:t>th</w:t>
      </w:r>
      <w:r w:rsidR="002F684C" w:rsidRPr="005977F1">
        <w:rPr>
          <w:szCs w:val="24"/>
        </w:rPr>
        <w:t xml:space="preserve"> year renewals)</w:t>
      </w:r>
      <w:r w:rsidRPr="005977F1">
        <w:rPr>
          <w:szCs w:val="24"/>
        </w:rPr>
        <w:t xml:space="preserve"> for </w:t>
      </w:r>
      <w:r w:rsidR="00DE3E37" w:rsidRPr="005977F1">
        <w:rPr>
          <w:szCs w:val="24"/>
        </w:rPr>
        <w:t>tenure-track</w:t>
      </w:r>
      <w:r w:rsidRPr="005977F1">
        <w:rPr>
          <w:szCs w:val="24"/>
        </w:rPr>
        <w:t xml:space="preserve"> faculty</w:t>
      </w:r>
      <w:r w:rsidR="00A245CA">
        <w:rPr>
          <w:szCs w:val="24"/>
        </w:rPr>
        <w:t xml:space="preserve">, </w:t>
      </w:r>
      <w:r w:rsidR="001D5B16">
        <w:rPr>
          <w:szCs w:val="24"/>
        </w:rPr>
        <w:t xml:space="preserve">Tenure, and </w:t>
      </w:r>
      <w:r w:rsidR="00A245CA">
        <w:rPr>
          <w:szCs w:val="24"/>
        </w:rPr>
        <w:t>Prom</w:t>
      </w:r>
      <w:r w:rsidR="001D5B16">
        <w:rPr>
          <w:szCs w:val="24"/>
        </w:rPr>
        <w:t>otion Evaluation</w:t>
      </w:r>
      <w:r w:rsidRPr="005977F1">
        <w:rPr>
          <w:szCs w:val="24"/>
        </w:rPr>
        <w:t>.</w:t>
      </w:r>
      <w:r w:rsidR="002F684C" w:rsidRPr="005977F1">
        <w:rPr>
          <w:szCs w:val="24"/>
        </w:rPr>
        <w:t xml:space="preserve"> </w:t>
      </w:r>
    </w:p>
    <w:p w14:paraId="2FF1734B" w14:textId="53E8B4F7" w:rsidR="000B6EF6" w:rsidRDefault="000B6EF6" w:rsidP="00E301E0">
      <w:pPr>
        <w:numPr>
          <w:ilvl w:val="0"/>
          <w:numId w:val="32"/>
        </w:numPr>
        <w:ind w:left="1267"/>
        <w:jc w:val="both"/>
        <w:rPr>
          <w:szCs w:val="24"/>
        </w:rPr>
      </w:pPr>
      <w:r w:rsidRPr="005977F1">
        <w:rPr>
          <w:szCs w:val="24"/>
        </w:rPr>
        <w:t xml:space="preserve">The DEC, referring to </w:t>
      </w:r>
      <w:r>
        <w:rPr>
          <w:szCs w:val="24"/>
        </w:rPr>
        <w:t xml:space="preserve">department, </w:t>
      </w:r>
      <w:r w:rsidRPr="005977F1">
        <w:rPr>
          <w:szCs w:val="24"/>
        </w:rPr>
        <w:t>school</w:t>
      </w:r>
      <w:r>
        <w:rPr>
          <w:szCs w:val="24"/>
        </w:rPr>
        <w:t>,</w:t>
      </w:r>
      <w:r w:rsidRPr="005977F1">
        <w:rPr>
          <w:szCs w:val="24"/>
        </w:rPr>
        <w:t xml:space="preserve"> and university policies, will assess the </w:t>
      </w:r>
      <w:r w:rsidR="00864B74">
        <w:rPr>
          <w:szCs w:val="24"/>
        </w:rPr>
        <w:t xml:space="preserve">faculty </w:t>
      </w:r>
      <w:r w:rsidR="00C951A6">
        <w:rPr>
          <w:szCs w:val="24"/>
        </w:rPr>
        <w:t>based on</w:t>
      </w:r>
      <w:r w:rsidR="00641FA7">
        <w:rPr>
          <w:szCs w:val="24"/>
        </w:rPr>
        <w:t xml:space="preserve"> </w:t>
      </w:r>
      <w:r w:rsidR="00D800F8">
        <w:rPr>
          <w:szCs w:val="24"/>
        </w:rPr>
        <w:t xml:space="preserve">the </w:t>
      </w:r>
      <w:r w:rsidRPr="005977F1">
        <w:rPr>
          <w:szCs w:val="24"/>
        </w:rPr>
        <w:t>materials submitted</w:t>
      </w:r>
      <w:r>
        <w:rPr>
          <w:szCs w:val="24"/>
        </w:rPr>
        <w:t xml:space="preserve"> in their </w:t>
      </w:r>
      <w:r w:rsidR="00D936F7">
        <w:rPr>
          <w:szCs w:val="24"/>
        </w:rPr>
        <w:t>digital</w:t>
      </w:r>
      <w:r w:rsidR="00236DE3">
        <w:rPr>
          <w:szCs w:val="24"/>
        </w:rPr>
        <w:t xml:space="preserve"> </w:t>
      </w:r>
      <w:r>
        <w:rPr>
          <w:szCs w:val="24"/>
        </w:rPr>
        <w:t>portfolio</w:t>
      </w:r>
      <w:r w:rsidR="00236DE3">
        <w:rPr>
          <w:szCs w:val="24"/>
        </w:rPr>
        <w:t>.</w:t>
      </w:r>
    </w:p>
    <w:p w14:paraId="39F9C090" w14:textId="1CD3EC4D" w:rsidR="00844EEC" w:rsidRPr="000B6EF6" w:rsidRDefault="00895674" w:rsidP="00E301E0">
      <w:pPr>
        <w:numPr>
          <w:ilvl w:val="0"/>
          <w:numId w:val="32"/>
        </w:numPr>
        <w:ind w:left="1267"/>
        <w:jc w:val="both"/>
        <w:rPr>
          <w:szCs w:val="24"/>
        </w:rPr>
      </w:pPr>
      <w:r w:rsidRPr="005977F1">
        <w:rPr>
          <w:szCs w:val="24"/>
        </w:rPr>
        <w:t xml:space="preserve">Load Credit Activity: </w:t>
      </w:r>
      <w:r w:rsidR="00307B61" w:rsidRPr="005977F1">
        <w:rPr>
          <w:szCs w:val="24"/>
        </w:rPr>
        <w:t xml:space="preserve">Faculty will document their continued growth of teaching </w:t>
      </w:r>
      <w:r w:rsidR="00DA6487">
        <w:rPr>
          <w:szCs w:val="24"/>
        </w:rPr>
        <w:t xml:space="preserve">and teaching </w:t>
      </w:r>
      <w:r w:rsidR="00307B61" w:rsidRPr="005977F1">
        <w:rPr>
          <w:szCs w:val="24"/>
        </w:rPr>
        <w:t>effectiveness in traditional</w:t>
      </w:r>
      <w:r w:rsidR="00696EA7">
        <w:rPr>
          <w:szCs w:val="24"/>
        </w:rPr>
        <w:t>, hybrid,</w:t>
      </w:r>
      <w:r w:rsidR="00307B61" w:rsidRPr="005977F1">
        <w:rPr>
          <w:szCs w:val="24"/>
        </w:rPr>
        <w:t xml:space="preserve"> and/or online classrooms</w:t>
      </w:r>
      <w:r w:rsidR="00696EA7">
        <w:rPr>
          <w:szCs w:val="24"/>
        </w:rPr>
        <w:t xml:space="preserve"> and commitment to developing quality teaching practices.</w:t>
      </w:r>
      <w:r w:rsidR="00307B61" w:rsidRPr="005977F1">
        <w:rPr>
          <w:szCs w:val="24"/>
        </w:rPr>
        <w:t xml:space="preserve"> </w:t>
      </w:r>
      <w:r w:rsidR="00DD16FA" w:rsidRPr="005977F1">
        <w:rPr>
          <w:szCs w:val="24"/>
        </w:rPr>
        <w:t xml:space="preserve">The portfolio shall provide evidence of </w:t>
      </w:r>
      <w:r w:rsidR="00696EA7">
        <w:rPr>
          <w:szCs w:val="24"/>
        </w:rPr>
        <w:t>high</w:t>
      </w:r>
      <w:r w:rsidR="00347415">
        <w:rPr>
          <w:szCs w:val="24"/>
        </w:rPr>
        <w:t>-</w:t>
      </w:r>
      <w:r w:rsidR="00696EA7">
        <w:rPr>
          <w:szCs w:val="24"/>
        </w:rPr>
        <w:t>quality</w:t>
      </w:r>
      <w:r w:rsidR="00696EA7" w:rsidRPr="005977F1">
        <w:rPr>
          <w:szCs w:val="24"/>
        </w:rPr>
        <w:t xml:space="preserve"> </w:t>
      </w:r>
      <w:r w:rsidR="00DD16FA" w:rsidRPr="005977F1">
        <w:rPr>
          <w:szCs w:val="24"/>
        </w:rPr>
        <w:t xml:space="preserve">preparation for their teaching responsibilities e.g., detailed syllabi, course materials, as well as a commitment to developing sound teaching practices. </w:t>
      </w:r>
      <w:r w:rsidR="00696EA7">
        <w:rPr>
          <w:szCs w:val="24"/>
        </w:rPr>
        <w:t xml:space="preserve">Evaluation of faculty will include quantitative student opinion surveys, peer teaching evaluation, unedited comments from student opinion surveys, and information regarding the course content, activities, grading, etc. </w:t>
      </w:r>
      <w:r w:rsidR="00696EA7" w:rsidRPr="009A6796">
        <w:rPr>
          <w:szCs w:val="24"/>
        </w:rPr>
        <w:t xml:space="preserve"> </w:t>
      </w:r>
      <w:r w:rsidR="000B6EF6" w:rsidRPr="005977F1">
        <w:rPr>
          <w:szCs w:val="24"/>
        </w:rPr>
        <w:t>(see AAUP-</w:t>
      </w:r>
      <w:r w:rsidR="000B6EF6">
        <w:rPr>
          <w:szCs w:val="24"/>
        </w:rPr>
        <w:t>CBA Section 4.11.9.1</w:t>
      </w:r>
      <w:r w:rsidR="000B6EF6" w:rsidRPr="005977F1">
        <w:rPr>
          <w:szCs w:val="24"/>
        </w:rPr>
        <w:t xml:space="preserve">). </w:t>
      </w:r>
    </w:p>
    <w:p w14:paraId="3D5D1786" w14:textId="2BDE592B" w:rsidR="00127827" w:rsidRPr="005977F1" w:rsidRDefault="00307B61" w:rsidP="00E301E0">
      <w:pPr>
        <w:numPr>
          <w:ilvl w:val="0"/>
          <w:numId w:val="32"/>
        </w:numPr>
        <w:ind w:left="1267"/>
        <w:jc w:val="both"/>
        <w:rPr>
          <w:szCs w:val="24"/>
        </w:rPr>
      </w:pPr>
      <w:r w:rsidRPr="005977F1">
        <w:rPr>
          <w:szCs w:val="24"/>
        </w:rPr>
        <w:t xml:space="preserve">Creative Activity: </w:t>
      </w:r>
      <w:r w:rsidR="00DA6487">
        <w:rPr>
          <w:szCs w:val="24"/>
        </w:rPr>
        <w:t>Faculty will document their contributions in c</w:t>
      </w:r>
      <w:r w:rsidR="000B6EF6">
        <w:rPr>
          <w:szCs w:val="24"/>
        </w:rPr>
        <w:t xml:space="preserve">reative activity. Creative activity </w:t>
      </w:r>
      <w:r w:rsidR="003A26D5">
        <w:rPr>
          <w:szCs w:val="24"/>
        </w:rPr>
        <w:t>efforts should contribute to improving faculty</w:t>
      </w:r>
      <w:r w:rsidR="00A427BF">
        <w:rPr>
          <w:szCs w:val="24"/>
        </w:rPr>
        <w:t xml:space="preserve"> effectiveness </w:t>
      </w:r>
      <w:r w:rsidR="00A92D55">
        <w:rPr>
          <w:szCs w:val="24"/>
        </w:rPr>
        <w:t>as a teacher and scholar.</w:t>
      </w:r>
      <w:r w:rsidR="00E7772F">
        <w:rPr>
          <w:szCs w:val="24"/>
        </w:rPr>
        <w:t xml:space="preserve"> The creative activity </w:t>
      </w:r>
      <w:r w:rsidR="000B6EF6">
        <w:rPr>
          <w:szCs w:val="24"/>
        </w:rPr>
        <w:t xml:space="preserve">should be </w:t>
      </w:r>
      <w:r w:rsidR="00844EEC" w:rsidRPr="005977F1">
        <w:rPr>
          <w:szCs w:val="24"/>
        </w:rPr>
        <w:t>appropriate to the accounting</w:t>
      </w:r>
      <w:r w:rsidR="00AE1EFD">
        <w:rPr>
          <w:szCs w:val="24"/>
        </w:rPr>
        <w:t xml:space="preserve"> and accounting</w:t>
      </w:r>
      <w:r w:rsidR="004E04AE">
        <w:rPr>
          <w:szCs w:val="24"/>
        </w:rPr>
        <w:t>-related</w:t>
      </w:r>
      <w:r w:rsidR="0007607B">
        <w:rPr>
          <w:szCs w:val="24"/>
        </w:rPr>
        <w:t xml:space="preserve"> </w:t>
      </w:r>
      <w:r w:rsidR="00844EEC" w:rsidRPr="005977F1">
        <w:rPr>
          <w:szCs w:val="24"/>
        </w:rPr>
        <w:t>field</w:t>
      </w:r>
      <w:r w:rsidR="00E7772F">
        <w:rPr>
          <w:szCs w:val="24"/>
        </w:rPr>
        <w:t>s</w:t>
      </w:r>
      <w:r w:rsidR="00844EEC" w:rsidRPr="005977F1">
        <w:rPr>
          <w:szCs w:val="24"/>
        </w:rPr>
        <w:t xml:space="preserve"> such as delivering papers at professional conferences, research, study, and publications (see </w:t>
      </w:r>
      <w:r w:rsidR="005977F1" w:rsidRPr="005977F1">
        <w:rPr>
          <w:szCs w:val="24"/>
        </w:rPr>
        <w:t>AAUP-</w:t>
      </w:r>
      <w:r w:rsidR="00844EEC" w:rsidRPr="005977F1">
        <w:rPr>
          <w:szCs w:val="24"/>
        </w:rPr>
        <w:t xml:space="preserve">CBA Section 4.11.9.2). </w:t>
      </w:r>
      <w:r w:rsidR="009D710A">
        <w:rPr>
          <w:szCs w:val="24"/>
        </w:rPr>
        <w:t xml:space="preserve">Faculty must document </w:t>
      </w:r>
      <w:r w:rsidR="005D2449">
        <w:rPr>
          <w:szCs w:val="24"/>
        </w:rPr>
        <w:t xml:space="preserve">significant progress </w:t>
      </w:r>
      <w:r w:rsidR="006A1B2D">
        <w:rPr>
          <w:szCs w:val="24"/>
        </w:rPr>
        <w:t>on their active and sustained level of quality creative activity</w:t>
      </w:r>
      <w:r w:rsidR="00AD5378">
        <w:rPr>
          <w:szCs w:val="24"/>
        </w:rPr>
        <w:t>.</w:t>
      </w:r>
    </w:p>
    <w:p w14:paraId="375C46E6" w14:textId="77777777" w:rsidR="00307B61" w:rsidRPr="000B6EF6" w:rsidRDefault="00307B61" w:rsidP="00E301E0">
      <w:pPr>
        <w:numPr>
          <w:ilvl w:val="0"/>
          <w:numId w:val="32"/>
        </w:numPr>
        <w:ind w:left="1267"/>
        <w:jc w:val="both"/>
        <w:rPr>
          <w:szCs w:val="24"/>
        </w:rPr>
      </w:pPr>
      <w:r w:rsidRPr="005977F1">
        <w:rPr>
          <w:szCs w:val="24"/>
        </w:rPr>
        <w:t>Productive Service Ac</w:t>
      </w:r>
      <w:r w:rsidR="0065045B" w:rsidRPr="005977F1">
        <w:rPr>
          <w:szCs w:val="24"/>
        </w:rPr>
        <w:t>tivity. Faculty will</w:t>
      </w:r>
      <w:r w:rsidR="000B6EF6">
        <w:rPr>
          <w:szCs w:val="24"/>
        </w:rPr>
        <w:t xml:space="preserve"> document </w:t>
      </w:r>
      <w:r w:rsidR="0065045B" w:rsidRPr="005977F1">
        <w:rPr>
          <w:szCs w:val="24"/>
        </w:rPr>
        <w:t xml:space="preserve">productive </w:t>
      </w:r>
      <w:r w:rsidRPr="005977F1">
        <w:rPr>
          <w:szCs w:val="24"/>
        </w:rPr>
        <w:t>service to the Depa</w:t>
      </w:r>
      <w:r w:rsidR="000B6EF6">
        <w:rPr>
          <w:szCs w:val="24"/>
        </w:rPr>
        <w:t>rtment, School</w:t>
      </w:r>
      <w:r w:rsidR="001D5B16">
        <w:rPr>
          <w:szCs w:val="24"/>
        </w:rPr>
        <w:t xml:space="preserve"> of Business</w:t>
      </w:r>
      <w:r w:rsidR="000B6EF6">
        <w:rPr>
          <w:szCs w:val="24"/>
        </w:rPr>
        <w:t xml:space="preserve">, </w:t>
      </w:r>
      <w:r w:rsidR="0065045B" w:rsidRPr="005977F1">
        <w:rPr>
          <w:szCs w:val="24"/>
        </w:rPr>
        <w:t>and the University. Productive service may</w:t>
      </w:r>
      <w:r w:rsidRPr="005977F1">
        <w:rPr>
          <w:szCs w:val="24"/>
        </w:rPr>
        <w:t xml:space="preserve"> be documented by membership on committees and/or letters from those who have been involved with their </w:t>
      </w:r>
      <w:r w:rsidR="0065045B" w:rsidRPr="005977F1">
        <w:rPr>
          <w:szCs w:val="24"/>
        </w:rPr>
        <w:t xml:space="preserve">productive </w:t>
      </w:r>
      <w:r w:rsidRPr="005977F1">
        <w:rPr>
          <w:szCs w:val="24"/>
        </w:rPr>
        <w:t>service</w:t>
      </w:r>
      <w:r w:rsidR="000B6EF6">
        <w:rPr>
          <w:szCs w:val="24"/>
        </w:rPr>
        <w:t xml:space="preserve"> </w:t>
      </w:r>
      <w:r w:rsidR="000B6EF6" w:rsidRPr="005977F1">
        <w:rPr>
          <w:szCs w:val="24"/>
        </w:rPr>
        <w:t>(see AAUP-CBA Section 4.11.9.</w:t>
      </w:r>
      <w:r w:rsidR="000B6EF6">
        <w:rPr>
          <w:szCs w:val="24"/>
        </w:rPr>
        <w:t>3</w:t>
      </w:r>
      <w:r w:rsidR="000B6EF6" w:rsidRPr="005977F1">
        <w:rPr>
          <w:szCs w:val="24"/>
        </w:rPr>
        <w:t xml:space="preserve">). </w:t>
      </w:r>
    </w:p>
    <w:p w14:paraId="6A18A983" w14:textId="15C73A9C" w:rsidR="00307B61" w:rsidRPr="000B6EF6" w:rsidRDefault="00307B61" w:rsidP="00E301E0">
      <w:pPr>
        <w:numPr>
          <w:ilvl w:val="0"/>
          <w:numId w:val="32"/>
        </w:numPr>
        <w:ind w:left="1267"/>
        <w:jc w:val="both"/>
        <w:rPr>
          <w:szCs w:val="24"/>
        </w:rPr>
      </w:pPr>
      <w:r w:rsidRPr="005977F1">
        <w:rPr>
          <w:szCs w:val="24"/>
        </w:rPr>
        <w:t>Pr</w:t>
      </w:r>
      <w:r w:rsidR="001A5B29" w:rsidRPr="005977F1">
        <w:rPr>
          <w:szCs w:val="24"/>
        </w:rPr>
        <w:t>ofessional Activity. Faculty will</w:t>
      </w:r>
      <w:r w:rsidR="000B6EF6">
        <w:rPr>
          <w:szCs w:val="24"/>
        </w:rPr>
        <w:t xml:space="preserve"> document professional a</w:t>
      </w:r>
      <w:r w:rsidRPr="005977F1">
        <w:rPr>
          <w:szCs w:val="24"/>
        </w:rPr>
        <w:t>ctivity by maintaining memberships appropriate to their area of expertise and document attendance at local, regional, national</w:t>
      </w:r>
      <w:r w:rsidR="00A02780">
        <w:rPr>
          <w:szCs w:val="24"/>
        </w:rPr>
        <w:t>,</w:t>
      </w:r>
      <w:r w:rsidRPr="005977F1">
        <w:rPr>
          <w:szCs w:val="24"/>
        </w:rPr>
        <w:t xml:space="preserve"> and international conferences. Other professional activities include consulting, reviewing papers and books, coordinating conferences and writing grant applications</w:t>
      </w:r>
      <w:r w:rsidR="000B6EF6">
        <w:rPr>
          <w:szCs w:val="24"/>
        </w:rPr>
        <w:t xml:space="preserve"> </w:t>
      </w:r>
      <w:r w:rsidR="000B6EF6" w:rsidRPr="005977F1">
        <w:rPr>
          <w:szCs w:val="24"/>
        </w:rPr>
        <w:t>(see AAUP-CBA Section 4.11.9.</w:t>
      </w:r>
      <w:r w:rsidR="000B6EF6">
        <w:rPr>
          <w:szCs w:val="24"/>
        </w:rPr>
        <w:t>4</w:t>
      </w:r>
      <w:r w:rsidR="000B6EF6" w:rsidRPr="005977F1">
        <w:rPr>
          <w:szCs w:val="24"/>
        </w:rPr>
        <w:t xml:space="preserve">). </w:t>
      </w:r>
    </w:p>
    <w:p w14:paraId="4F2BFD20" w14:textId="360E6BBA" w:rsidR="00A245CA" w:rsidRPr="005977F1" w:rsidRDefault="00A245CA" w:rsidP="00E301E0">
      <w:pPr>
        <w:numPr>
          <w:ilvl w:val="0"/>
          <w:numId w:val="32"/>
        </w:numPr>
        <w:ind w:left="1267"/>
        <w:jc w:val="both"/>
        <w:rPr>
          <w:szCs w:val="24"/>
        </w:rPr>
      </w:pPr>
      <w:r w:rsidRPr="005977F1">
        <w:rPr>
          <w:szCs w:val="24"/>
        </w:rPr>
        <w:t xml:space="preserve">Contents of Portfolio: </w:t>
      </w:r>
      <w:r w:rsidR="00A62661">
        <w:rPr>
          <w:szCs w:val="24"/>
        </w:rPr>
        <w:t xml:space="preserve">The faculty member is responsible for providing evidence and documentation </w:t>
      </w:r>
      <w:r w:rsidR="00956EE5">
        <w:rPr>
          <w:szCs w:val="24"/>
        </w:rPr>
        <w:t xml:space="preserve">in their </w:t>
      </w:r>
      <w:r w:rsidR="000B6EF6">
        <w:rPr>
          <w:szCs w:val="24"/>
        </w:rPr>
        <w:t xml:space="preserve">portfolio </w:t>
      </w:r>
      <w:r w:rsidRPr="005977F1">
        <w:rPr>
          <w:szCs w:val="24"/>
        </w:rPr>
        <w:t>in all four categories</w:t>
      </w:r>
      <w:r w:rsidR="000B6EF6">
        <w:rPr>
          <w:szCs w:val="24"/>
        </w:rPr>
        <w:t xml:space="preserve"> noted above</w:t>
      </w:r>
      <w:r w:rsidR="00462E48">
        <w:rPr>
          <w:szCs w:val="24"/>
        </w:rPr>
        <w:t xml:space="preserve"> as well as </w:t>
      </w:r>
      <w:r w:rsidR="00296E7F">
        <w:rPr>
          <w:szCs w:val="24"/>
        </w:rPr>
        <w:t xml:space="preserve">years in rank (see AAUP-CBA Section 4.11.9.5) and </w:t>
      </w:r>
      <w:r w:rsidR="00D20539">
        <w:rPr>
          <w:szCs w:val="24"/>
        </w:rPr>
        <w:t xml:space="preserve">record of any disciplinary action (see AAUP-CBA Section 4.11.9.6) </w:t>
      </w:r>
      <w:r w:rsidRPr="005977F1">
        <w:rPr>
          <w:szCs w:val="24"/>
        </w:rPr>
        <w:t xml:space="preserve">for the entire period since their last </w:t>
      </w:r>
      <w:r w:rsidR="003C4FE1">
        <w:rPr>
          <w:szCs w:val="24"/>
        </w:rPr>
        <w:t xml:space="preserve">evaluation </w:t>
      </w:r>
      <w:r w:rsidRPr="005977F1">
        <w:rPr>
          <w:szCs w:val="24"/>
        </w:rPr>
        <w:t xml:space="preserve"> or initial appointment, whichever is more recent</w:t>
      </w:r>
      <w:r w:rsidR="00216736">
        <w:rPr>
          <w:szCs w:val="24"/>
        </w:rPr>
        <w:t xml:space="preserve"> </w:t>
      </w:r>
      <w:r w:rsidR="00C45022">
        <w:rPr>
          <w:szCs w:val="24"/>
        </w:rPr>
        <w:t>(See Section IV Portfolio Contents)</w:t>
      </w:r>
      <w:r w:rsidRPr="005977F1">
        <w:rPr>
          <w:szCs w:val="24"/>
        </w:rPr>
        <w:t>.</w:t>
      </w:r>
    </w:p>
    <w:p w14:paraId="0A244C99" w14:textId="091D0B6F" w:rsidR="00C45022" w:rsidRPr="00347415" w:rsidRDefault="001D5B16" w:rsidP="00DE62D7">
      <w:pPr>
        <w:ind w:left="1267"/>
        <w:jc w:val="both"/>
        <w:rPr>
          <w:i/>
          <w:iCs/>
          <w:szCs w:val="24"/>
        </w:rPr>
      </w:pPr>
      <w:r w:rsidRPr="00347415">
        <w:rPr>
          <w:i/>
          <w:iCs/>
          <w:szCs w:val="24"/>
        </w:rPr>
        <w:t>Faculty member</w:t>
      </w:r>
      <w:r w:rsidR="00A245CA" w:rsidRPr="00347415">
        <w:rPr>
          <w:i/>
          <w:iCs/>
          <w:szCs w:val="24"/>
        </w:rPr>
        <w:t xml:space="preserve">s may </w:t>
      </w:r>
      <w:r w:rsidR="000B6EF6" w:rsidRPr="00347415">
        <w:rPr>
          <w:i/>
          <w:iCs/>
          <w:szCs w:val="24"/>
        </w:rPr>
        <w:t>solicit external reviewers for any of the four activities</w:t>
      </w:r>
      <w:r w:rsidR="00A245CA" w:rsidRPr="00347415">
        <w:rPr>
          <w:i/>
          <w:iCs/>
          <w:szCs w:val="24"/>
        </w:rPr>
        <w:t>.</w:t>
      </w:r>
    </w:p>
    <w:p w14:paraId="69CF72EB" w14:textId="7E2705CD" w:rsidR="008E21BF" w:rsidRDefault="008E21BF" w:rsidP="00347415">
      <w:pPr>
        <w:numPr>
          <w:ilvl w:val="0"/>
          <w:numId w:val="44"/>
        </w:numPr>
        <w:ind w:left="720"/>
        <w:jc w:val="both"/>
        <w:rPr>
          <w:szCs w:val="24"/>
        </w:rPr>
      </w:pPr>
      <w:r>
        <w:rPr>
          <w:szCs w:val="24"/>
        </w:rPr>
        <w:lastRenderedPageBreak/>
        <w:t>Expectations for Promotion to Associate Professor</w:t>
      </w:r>
    </w:p>
    <w:p w14:paraId="3A1687BA" w14:textId="05F2D8A5" w:rsidR="008E21BF" w:rsidRDefault="008E21BF" w:rsidP="00347415">
      <w:pPr>
        <w:ind w:left="720"/>
        <w:jc w:val="both"/>
        <w:rPr>
          <w:szCs w:val="24"/>
        </w:rPr>
      </w:pPr>
      <w:r>
        <w:rPr>
          <w:szCs w:val="24"/>
        </w:rPr>
        <w:t xml:space="preserve">Faculty seeking promotion to Associate Professor must provide documentation of their activities in all contractual areas from the entire period since their last promotion or initial appointment, whichever is more recent. </w:t>
      </w:r>
      <w:r w:rsidR="00216736">
        <w:rPr>
          <w:szCs w:val="24"/>
        </w:rPr>
        <w:t xml:space="preserve">In addition, faculty must meet the standards specified for promotion in AAUP-CBA Sections 5.3.1-5.3.4. </w:t>
      </w:r>
      <w:r>
        <w:rPr>
          <w:szCs w:val="24"/>
        </w:rPr>
        <w:t>The Department expects growth along all contractual areas. Candidates who</w:t>
      </w:r>
      <w:r w:rsidR="00927EF0">
        <w:rPr>
          <w:szCs w:val="24"/>
        </w:rPr>
        <w:t xml:space="preserve"> do not perform satisfactory in all these domains should not expect favorable recommendations.</w:t>
      </w:r>
      <w:r w:rsidR="006E7A13">
        <w:rPr>
          <w:szCs w:val="24"/>
        </w:rPr>
        <w:t xml:space="preserve"> </w:t>
      </w:r>
    </w:p>
    <w:p w14:paraId="20403B45" w14:textId="77777777" w:rsidR="00927EF0" w:rsidRDefault="00927EF0" w:rsidP="00347415">
      <w:pPr>
        <w:ind w:left="720"/>
        <w:jc w:val="both"/>
        <w:rPr>
          <w:szCs w:val="24"/>
        </w:rPr>
      </w:pPr>
    </w:p>
    <w:p w14:paraId="21DF90D3" w14:textId="26557C86" w:rsidR="00927EF0" w:rsidRDefault="00927EF0" w:rsidP="00347415">
      <w:pPr>
        <w:numPr>
          <w:ilvl w:val="0"/>
          <w:numId w:val="44"/>
        </w:numPr>
        <w:ind w:left="720"/>
        <w:jc w:val="both"/>
        <w:rPr>
          <w:szCs w:val="24"/>
        </w:rPr>
      </w:pPr>
      <w:r>
        <w:rPr>
          <w:szCs w:val="24"/>
        </w:rPr>
        <w:t>Expectations for Promotion to Professor</w:t>
      </w:r>
    </w:p>
    <w:p w14:paraId="3896E504" w14:textId="7D850A3D" w:rsidR="00927EF0" w:rsidRDefault="00927EF0" w:rsidP="00347415">
      <w:pPr>
        <w:ind w:left="720"/>
        <w:jc w:val="both"/>
        <w:rPr>
          <w:szCs w:val="24"/>
        </w:rPr>
      </w:pPr>
      <w:r>
        <w:rPr>
          <w:szCs w:val="24"/>
        </w:rPr>
        <w:t xml:space="preserve">The same qualities and criteria associated with promotion to rank of Associate Professor are applied to promotion to the rank of Professor. In this case, however, the Department looks for evidence of the professional maturation of the candidate as a teacher, scholar and colleague. During the time period since promotion to Associate Professor or initial appointment, </w:t>
      </w:r>
      <w:r w:rsidR="00B43395">
        <w:rPr>
          <w:szCs w:val="24"/>
        </w:rPr>
        <w:t>whichever is more recent, the candidate’s record of Load Credit Activity, Creative Activity, Productive Service, and Professional Activity should be sustained and show strong evidence of continued momentum within each contractual area.</w:t>
      </w:r>
      <w:r w:rsidR="00216736">
        <w:rPr>
          <w:szCs w:val="24"/>
        </w:rPr>
        <w:t xml:space="preserve"> Faculty members seeking promotion to Professor also must meet the standards specified for promotion in AAUP-CBA Sections 5.3.1-5.3.4.</w:t>
      </w:r>
    </w:p>
    <w:p w14:paraId="24849F89" w14:textId="77777777" w:rsidR="00B43395" w:rsidRDefault="00B43395" w:rsidP="00347415">
      <w:pPr>
        <w:ind w:left="720"/>
        <w:jc w:val="both"/>
        <w:rPr>
          <w:szCs w:val="24"/>
        </w:rPr>
      </w:pPr>
    </w:p>
    <w:p w14:paraId="6C82CEDB" w14:textId="5B2E7F89" w:rsidR="00377456" w:rsidRDefault="00307B61" w:rsidP="00347415">
      <w:pPr>
        <w:numPr>
          <w:ilvl w:val="0"/>
          <w:numId w:val="44"/>
        </w:numPr>
        <w:ind w:left="720"/>
        <w:jc w:val="both"/>
        <w:rPr>
          <w:szCs w:val="24"/>
        </w:rPr>
      </w:pPr>
      <w:r w:rsidRPr="005977F1">
        <w:rPr>
          <w:szCs w:val="24"/>
        </w:rPr>
        <w:t>Professional (6th year) Assessment</w:t>
      </w:r>
    </w:p>
    <w:p w14:paraId="69D500E7" w14:textId="1FA3DDDB" w:rsidR="00307B61" w:rsidRPr="00377456" w:rsidRDefault="00AC5290" w:rsidP="00347415">
      <w:pPr>
        <w:numPr>
          <w:ilvl w:val="1"/>
          <w:numId w:val="44"/>
        </w:numPr>
        <w:jc w:val="both"/>
        <w:rPr>
          <w:szCs w:val="24"/>
        </w:rPr>
      </w:pPr>
      <w:r w:rsidRPr="00377456">
        <w:rPr>
          <w:szCs w:val="24"/>
        </w:rPr>
        <w:t xml:space="preserve">Faculty members shall follow </w:t>
      </w:r>
      <w:r w:rsidR="005977F1" w:rsidRPr="00377456">
        <w:rPr>
          <w:szCs w:val="24"/>
        </w:rPr>
        <w:t>AAUP-</w:t>
      </w:r>
      <w:r w:rsidR="00B06BF1" w:rsidRPr="00377456">
        <w:rPr>
          <w:szCs w:val="24"/>
        </w:rPr>
        <w:t>CBA Section 4.12.</w:t>
      </w:r>
    </w:p>
    <w:p w14:paraId="2B907BE1" w14:textId="77777777" w:rsidR="006373CB" w:rsidRPr="005977F1" w:rsidRDefault="006373CB" w:rsidP="00347415">
      <w:pPr>
        <w:ind w:left="2520"/>
        <w:jc w:val="both"/>
        <w:rPr>
          <w:szCs w:val="24"/>
        </w:rPr>
      </w:pPr>
    </w:p>
    <w:p w14:paraId="60ED3809" w14:textId="039D4EFB" w:rsidR="004D3371" w:rsidRPr="005977F1" w:rsidRDefault="00AA4412" w:rsidP="008B151E">
      <w:pPr>
        <w:ind w:hanging="270"/>
        <w:jc w:val="both"/>
        <w:rPr>
          <w:b/>
          <w:szCs w:val="24"/>
        </w:rPr>
      </w:pPr>
      <w:r>
        <w:rPr>
          <w:b/>
          <w:szCs w:val="24"/>
        </w:rPr>
        <w:t xml:space="preserve">IV. </w:t>
      </w:r>
      <w:r w:rsidR="00307B61" w:rsidRPr="005977F1">
        <w:rPr>
          <w:b/>
          <w:szCs w:val="24"/>
        </w:rPr>
        <w:t>Observation of Teaching by Faculty Colleagues</w:t>
      </w:r>
    </w:p>
    <w:p w14:paraId="1EB11B1D" w14:textId="77777777" w:rsidR="00DE62D7" w:rsidRDefault="00307B61" w:rsidP="00DE62D7">
      <w:pPr>
        <w:ind w:left="432"/>
        <w:jc w:val="both"/>
        <w:rPr>
          <w:iCs/>
          <w:szCs w:val="24"/>
        </w:rPr>
      </w:pPr>
      <w:r w:rsidRPr="005977F1">
        <w:rPr>
          <w:szCs w:val="24"/>
        </w:rPr>
        <w:t>Acknowledgem</w:t>
      </w:r>
      <w:r w:rsidR="001D5B16">
        <w:rPr>
          <w:szCs w:val="24"/>
        </w:rPr>
        <w:t>ent of peer evaluations will</w:t>
      </w:r>
      <w:r w:rsidRPr="005977F1">
        <w:rPr>
          <w:szCs w:val="24"/>
        </w:rPr>
        <w:t xml:space="preserve"> be included in the portfolio in the section on Load Credit Activity.</w:t>
      </w:r>
      <w:r w:rsidR="00DE62D7">
        <w:rPr>
          <w:szCs w:val="24"/>
        </w:rPr>
        <w:t xml:space="preserve"> </w:t>
      </w:r>
      <w:r w:rsidR="00DE62D7" w:rsidRPr="005977F1">
        <w:rPr>
          <w:iCs/>
          <w:szCs w:val="24"/>
        </w:rPr>
        <w:t xml:space="preserve">Faculty peer observations shall be performed by DEC members or their appointees during the first, third, and fifth year for tenure-track faculty. Additional observations may be performed at mutually agreed upon times. All other faculty peer observations shall be performed periodically. </w:t>
      </w:r>
    </w:p>
    <w:p w14:paraId="0FDA5D8B" w14:textId="3017075B" w:rsidR="006373CB" w:rsidRPr="005977F1" w:rsidRDefault="00C45022" w:rsidP="00E301E0">
      <w:pPr>
        <w:ind w:left="360"/>
        <w:jc w:val="both"/>
        <w:rPr>
          <w:szCs w:val="24"/>
        </w:rPr>
      </w:pPr>
      <w:r>
        <w:rPr>
          <w:szCs w:val="24"/>
        </w:rPr>
        <w:t xml:space="preserve"> </w:t>
      </w:r>
    </w:p>
    <w:p w14:paraId="151D0518" w14:textId="03270696" w:rsidR="00307B61" w:rsidRPr="005977F1" w:rsidRDefault="00AA4412" w:rsidP="008B151E">
      <w:pPr>
        <w:ind w:hanging="180"/>
        <w:jc w:val="both"/>
        <w:rPr>
          <w:b/>
          <w:szCs w:val="24"/>
        </w:rPr>
      </w:pPr>
      <w:r>
        <w:rPr>
          <w:b/>
          <w:szCs w:val="24"/>
        </w:rPr>
        <w:t xml:space="preserve">V. </w:t>
      </w:r>
      <w:r w:rsidR="00307B61" w:rsidRPr="005977F1">
        <w:rPr>
          <w:b/>
          <w:szCs w:val="24"/>
        </w:rPr>
        <w:t>Portfolio Contents</w:t>
      </w:r>
    </w:p>
    <w:p w14:paraId="339C4BC5" w14:textId="003C6EBB" w:rsidR="00BD35DE" w:rsidRDefault="001D5B16" w:rsidP="00E301E0">
      <w:pPr>
        <w:ind w:left="360"/>
        <w:jc w:val="both"/>
        <w:rPr>
          <w:szCs w:val="24"/>
        </w:rPr>
      </w:pPr>
      <w:r>
        <w:rPr>
          <w:szCs w:val="24"/>
        </w:rPr>
        <w:t>Each faculty member</w:t>
      </w:r>
      <w:r w:rsidR="00307B61" w:rsidRPr="005977F1">
        <w:rPr>
          <w:szCs w:val="24"/>
        </w:rPr>
        <w:t xml:space="preserve"> for </w:t>
      </w:r>
      <w:r w:rsidR="003C00F0">
        <w:rPr>
          <w:szCs w:val="24"/>
        </w:rPr>
        <w:t>annual renewal</w:t>
      </w:r>
      <w:r w:rsidR="00A22489" w:rsidRPr="005977F1">
        <w:rPr>
          <w:szCs w:val="24"/>
        </w:rPr>
        <w:t xml:space="preserve">, </w:t>
      </w:r>
      <w:r>
        <w:rPr>
          <w:szCs w:val="24"/>
        </w:rPr>
        <w:t xml:space="preserve">tenure, promotion, </w:t>
      </w:r>
      <w:r w:rsidR="00307B61" w:rsidRPr="005977F1">
        <w:rPr>
          <w:szCs w:val="24"/>
        </w:rPr>
        <w:t xml:space="preserve">or 6th year </w:t>
      </w:r>
      <w:r w:rsidR="003C00F0">
        <w:rPr>
          <w:szCs w:val="24"/>
        </w:rPr>
        <w:t>assessment</w:t>
      </w:r>
      <w:r w:rsidR="00307B61" w:rsidRPr="005977F1">
        <w:rPr>
          <w:szCs w:val="24"/>
        </w:rPr>
        <w:t xml:space="preserve"> shall complete </w:t>
      </w:r>
      <w:r w:rsidR="00B3324E">
        <w:rPr>
          <w:szCs w:val="24"/>
        </w:rPr>
        <w:t>an</w:t>
      </w:r>
      <w:r w:rsidR="00B3324E" w:rsidRPr="005977F1">
        <w:rPr>
          <w:szCs w:val="24"/>
        </w:rPr>
        <w:t xml:space="preserve"> </w:t>
      </w:r>
      <w:r w:rsidR="00D936F7">
        <w:rPr>
          <w:szCs w:val="24"/>
        </w:rPr>
        <w:t xml:space="preserve">digital </w:t>
      </w:r>
      <w:r w:rsidR="00657A3E">
        <w:rPr>
          <w:szCs w:val="24"/>
        </w:rPr>
        <w:t>portfolio</w:t>
      </w:r>
      <w:r w:rsidR="00B3324E">
        <w:rPr>
          <w:szCs w:val="24"/>
        </w:rPr>
        <w:t xml:space="preserve"> that is </w:t>
      </w:r>
      <w:r w:rsidR="00307B61" w:rsidRPr="005977F1">
        <w:rPr>
          <w:szCs w:val="24"/>
        </w:rPr>
        <w:t>a succinct, comprehensive, uniformly formatted summary of his or her accomplishments</w:t>
      </w:r>
      <w:r w:rsidR="003C00F0">
        <w:rPr>
          <w:szCs w:val="24"/>
        </w:rPr>
        <w:t xml:space="preserve"> within each activity</w:t>
      </w:r>
      <w:r w:rsidR="00307B61" w:rsidRPr="005977F1">
        <w:rPr>
          <w:szCs w:val="24"/>
        </w:rPr>
        <w:t xml:space="preserve">. The </w:t>
      </w:r>
      <w:r w:rsidR="003C00F0">
        <w:rPr>
          <w:szCs w:val="24"/>
        </w:rPr>
        <w:t>portfolio</w:t>
      </w:r>
      <w:r w:rsidR="00307B61" w:rsidRPr="005977F1">
        <w:rPr>
          <w:szCs w:val="24"/>
        </w:rPr>
        <w:t xml:space="preserve"> </w:t>
      </w:r>
      <w:r w:rsidR="003C00F0">
        <w:rPr>
          <w:szCs w:val="24"/>
        </w:rPr>
        <w:t xml:space="preserve">should be organized and formatted according to the </w:t>
      </w:r>
      <w:r w:rsidR="003C00F0" w:rsidRPr="005977F1">
        <w:rPr>
          <w:szCs w:val="24"/>
        </w:rPr>
        <w:t xml:space="preserve">Faculty Senate Promotion and Tenure Policy for Tenure-track Teaching Faculty </w:t>
      </w:r>
      <w:r w:rsidR="000564DB">
        <w:rPr>
          <w:szCs w:val="24"/>
        </w:rPr>
        <w:t>amended November 11, 2019.</w:t>
      </w:r>
      <w:r w:rsidR="003C00F0" w:rsidRPr="005977F1">
        <w:rPr>
          <w:szCs w:val="24"/>
        </w:rPr>
        <w:t xml:space="preserve"> This document is available </w:t>
      </w:r>
      <w:r w:rsidR="00BD35DE">
        <w:rPr>
          <w:szCs w:val="24"/>
        </w:rPr>
        <w:t xml:space="preserve">on the Faculty Senate webpage at: </w:t>
      </w:r>
      <w:hyperlink r:id="rId10" w:history="1">
        <w:r w:rsidR="00BD35DE" w:rsidRPr="00131EB3">
          <w:rPr>
            <w:rStyle w:val="Hyperlink"/>
            <w:szCs w:val="24"/>
          </w:rPr>
          <w:t>https://web.ccsu.edu/facultysenate/promoandtenure.asp</w:t>
        </w:r>
      </w:hyperlink>
    </w:p>
    <w:p w14:paraId="30A8B518" w14:textId="21938F63" w:rsidR="00DD11DE" w:rsidRDefault="003C00F0" w:rsidP="00E301E0">
      <w:pPr>
        <w:ind w:left="360"/>
        <w:jc w:val="both"/>
        <w:rPr>
          <w:szCs w:val="24"/>
        </w:rPr>
      </w:pPr>
      <w:r w:rsidRPr="005977F1">
        <w:rPr>
          <w:szCs w:val="24"/>
        </w:rPr>
        <w:t xml:space="preserve"> </w:t>
      </w:r>
    </w:p>
    <w:p w14:paraId="545B1249" w14:textId="67F23C6B" w:rsidR="001936C8" w:rsidRDefault="00160CDD" w:rsidP="00E301E0">
      <w:pPr>
        <w:jc w:val="both"/>
        <w:rPr>
          <w:b/>
          <w:szCs w:val="24"/>
        </w:rPr>
      </w:pPr>
      <w:r>
        <w:rPr>
          <w:b/>
          <w:szCs w:val="24"/>
        </w:rPr>
        <w:t xml:space="preserve">VI.   </w:t>
      </w:r>
      <w:r w:rsidR="00EA60B1">
        <w:rPr>
          <w:b/>
          <w:szCs w:val="24"/>
        </w:rPr>
        <w:t xml:space="preserve">Electronic Submission </w:t>
      </w:r>
      <w:r w:rsidR="0095117F">
        <w:rPr>
          <w:b/>
          <w:szCs w:val="24"/>
        </w:rPr>
        <w:t xml:space="preserve"> of </w:t>
      </w:r>
      <w:r w:rsidR="00C1053D">
        <w:rPr>
          <w:b/>
          <w:szCs w:val="24"/>
        </w:rPr>
        <w:t>Portfolio</w:t>
      </w:r>
    </w:p>
    <w:p w14:paraId="4C7356F9" w14:textId="77777777" w:rsidR="00240DE6" w:rsidRDefault="00240DE6" w:rsidP="00E301E0">
      <w:pPr>
        <w:jc w:val="both"/>
        <w:rPr>
          <w:b/>
          <w:szCs w:val="24"/>
        </w:rPr>
      </w:pPr>
    </w:p>
    <w:p w14:paraId="0677C12B" w14:textId="4F5B96AA" w:rsidR="00D8176F" w:rsidRPr="005977F1" w:rsidRDefault="004C17D7" w:rsidP="00D936F7">
      <w:pPr>
        <w:jc w:val="both"/>
        <w:rPr>
          <w:szCs w:val="24"/>
        </w:rPr>
      </w:pPr>
      <w:r w:rsidRPr="004F3C2F">
        <w:rPr>
          <w:bCs/>
          <w:szCs w:val="24"/>
        </w:rPr>
        <w:t>Faculty</w:t>
      </w:r>
      <w:r w:rsidR="00DE3DCF">
        <w:rPr>
          <w:bCs/>
          <w:szCs w:val="24"/>
        </w:rPr>
        <w:t xml:space="preserve"> will use electronic submission for materials to be considered for </w:t>
      </w:r>
      <w:r w:rsidR="00DD501C">
        <w:rPr>
          <w:bCs/>
          <w:szCs w:val="24"/>
        </w:rPr>
        <w:t xml:space="preserve">annual review, </w:t>
      </w:r>
      <w:r w:rsidR="00A04A5A">
        <w:rPr>
          <w:bCs/>
          <w:szCs w:val="24"/>
        </w:rPr>
        <w:t>promotion</w:t>
      </w:r>
      <w:r w:rsidR="00112FBA">
        <w:rPr>
          <w:bCs/>
          <w:szCs w:val="24"/>
        </w:rPr>
        <w:t xml:space="preserve"> and tenure (CSU-AAUP/BOR Contract Article 4.11) and </w:t>
      </w:r>
      <w:r w:rsidR="00A04A5A">
        <w:rPr>
          <w:bCs/>
          <w:szCs w:val="24"/>
        </w:rPr>
        <w:t>professional (6th</w:t>
      </w:r>
      <w:r w:rsidR="00A04A5A">
        <w:rPr>
          <w:bCs/>
          <w:szCs w:val="24"/>
          <w:vertAlign w:val="superscript"/>
        </w:rPr>
        <w:t xml:space="preserve"> </w:t>
      </w:r>
      <w:r w:rsidR="00A04A5A">
        <w:rPr>
          <w:bCs/>
          <w:szCs w:val="24"/>
        </w:rPr>
        <w:t>year) assessment</w:t>
      </w:r>
      <w:r w:rsidR="00112FBA">
        <w:rPr>
          <w:bCs/>
          <w:szCs w:val="24"/>
        </w:rPr>
        <w:t xml:space="preserve"> </w:t>
      </w:r>
      <w:r w:rsidR="00112FBA">
        <w:rPr>
          <w:bCs/>
          <w:szCs w:val="24"/>
        </w:rPr>
        <w:lastRenderedPageBreak/>
        <w:t>(Article 4.12). Al</w:t>
      </w:r>
      <w:r w:rsidR="00BD2F47">
        <w:t>l electronic submissions will be subject to faculty senate and departmental guidelines and adhere to the deadlines in Table 1 of the CSU-AAUP/BOR Contract.</w:t>
      </w:r>
    </w:p>
    <w:p w14:paraId="579B53EE" w14:textId="77777777" w:rsidR="00D8176F" w:rsidRPr="00CE4F7C" w:rsidRDefault="00D8176F" w:rsidP="00CE4F7C">
      <w:pPr>
        <w:ind w:left="360"/>
        <w:jc w:val="both"/>
        <w:rPr>
          <w:szCs w:val="24"/>
        </w:rPr>
      </w:pPr>
    </w:p>
    <w:p w14:paraId="0A3F99EE" w14:textId="77777777" w:rsidR="00160CDD" w:rsidRPr="005977F1" w:rsidRDefault="00160CDD" w:rsidP="003E2002">
      <w:pPr>
        <w:ind w:left="720"/>
        <w:jc w:val="both"/>
        <w:rPr>
          <w:szCs w:val="24"/>
        </w:rPr>
      </w:pPr>
    </w:p>
    <w:p w14:paraId="5BA8B4BB" w14:textId="12138E57" w:rsidR="00F80EC7" w:rsidRDefault="00F80EC7" w:rsidP="00F80EC7">
      <w:pPr>
        <w:rPr>
          <w:sz w:val="22"/>
        </w:rPr>
      </w:pPr>
    </w:p>
    <w:p w14:paraId="450100A6" w14:textId="1EE0EE7D" w:rsidR="001936C8" w:rsidRPr="005977F1" w:rsidRDefault="001936C8" w:rsidP="00E301E0">
      <w:pPr>
        <w:jc w:val="both"/>
        <w:rPr>
          <w:szCs w:val="24"/>
        </w:rPr>
      </w:pPr>
    </w:p>
    <w:sectPr w:rsidR="001936C8" w:rsidRPr="005977F1" w:rsidSect="00833D21">
      <w:headerReference w:type="default" r:id="rId11"/>
      <w:footerReference w:type="even" r:id="rId12"/>
      <w:footerReference w:type="default" r:id="rId13"/>
      <w:pgSz w:w="12240" w:h="15840"/>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31C5" w14:textId="77777777" w:rsidR="00C502E3" w:rsidRDefault="00C502E3" w:rsidP="007076FB">
      <w:r>
        <w:separator/>
      </w:r>
    </w:p>
  </w:endnote>
  <w:endnote w:type="continuationSeparator" w:id="0">
    <w:p w14:paraId="4C22D159" w14:textId="77777777" w:rsidR="00C502E3" w:rsidRDefault="00C502E3" w:rsidP="007076FB">
      <w:r>
        <w:continuationSeparator/>
      </w:r>
    </w:p>
  </w:endnote>
  <w:endnote w:type="continuationNotice" w:id="1">
    <w:p w14:paraId="410F3605" w14:textId="77777777" w:rsidR="00C502E3" w:rsidRDefault="00C50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32CA" w14:textId="77777777" w:rsidR="00F833A8" w:rsidRDefault="00F833A8" w:rsidP="00707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05BF3" w14:textId="77777777" w:rsidR="00F833A8" w:rsidRDefault="00F833A8" w:rsidP="00707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884C" w14:textId="7124BD57" w:rsidR="00F833A8" w:rsidRDefault="00F833A8" w:rsidP="00707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456">
      <w:rPr>
        <w:rStyle w:val="PageNumber"/>
        <w:noProof/>
      </w:rPr>
      <w:t>4</w:t>
    </w:r>
    <w:r>
      <w:rPr>
        <w:rStyle w:val="PageNumber"/>
      </w:rPr>
      <w:fldChar w:fldCharType="end"/>
    </w:r>
  </w:p>
  <w:p w14:paraId="49348468" w14:textId="7279362E" w:rsidR="00F833A8" w:rsidRDefault="00A22489" w:rsidP="007076FB">
    <w:pPr>
      <w:pStyle w:val="Footer"/>
      <w:ind w:right="360"/>
      <w:rPr>
        <w:sz w:val="20"/>
      </w:rPr>
    </w:pPr>
    <w:r>
      <w:rPr>
        <w:sz w:val="20"/>
      </w:rPr>
      <w:t xml:space="preserve">Revised </w:t>
    </w:r>
    <w:r w:rsidR="00DD11DE">
      <w:rPr>
        <w:sz w:val="20"/>
      </w:rPr>
      <w:t>1/26/2021</w:t>
    </w:r>
  </w:p>
  <w:p w14:paraId="3EB886EB" w14:textId="4D601B17" w:rsidR="004F3C2F" w:rsidRDefault="004F3C2F" w:rsidP="007076FB">
    <w:pPr>
      <w:pStyle w:val="Footer"/>
      <w:ind w:right="360"/>
      <w:rPr>
        <w:sz w:val="20"/>
      </w:rPr>
    </w:pPr>
    <w:r>
      <w:rPr>
        <w:sz w:val="20"/>
      </w:rPr>
      <w:t>Amended 2/6/2024</w:t>
    </w:r>
  </w:p>
  <w:p w14:paraId="1A440334" w14:textId="77777777" w:rsidR="00DD11DE" w:rsidRPr="007076FB" w:rsidRDefault="00DD11DE" w:rsidP="007076F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EFA2" w14:textId="77777777" w:rsidR="00C502E3" w:rsidRDefault="00C502E3" w:rsidP="007076FB">
      <w:r>
        <w:separator/>
      </w:r>
    </w:p>
  </w:footnote>
  <w:footnote w:type="continuationSeparator" w:id="0">
    <w:p w14:paraId="2A0BC37C" w14:textId="77777777" w:rsidR="00C502E3" w:rsidRDefault="00C502E3" w:rsidP="007076FB">
      <w:r>
        <w:continuationSeparator/>
      </w:r>
    </w:p>
  </w:footnote>
  <w:footnote w:type="continuationNotice" w:id="1">
    <w:p w14:paraId="4BA00F7C" w14:textId="77777777" w:rsidR="00C502E3" w:rsidRDefault="00C50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822C" w14:textId="77777777" w:rsidR="00F833A8" w:rsidRPr="005701B4" w:rsidRDefault="00F833A8" w:rsidP="007076FB">
    <w:pPr>
      <w:jc w:val="center"/>
      <w:rPr>
        <w:b/>
        <w:bCs/>
        <w:szCs w:val="24"/>
      </w:rPr>
    </w:pPr>
    <w:r w:rsidRPr="005701B4">
      <w:rPr>
        <w:b/>
        <w:bCs/>
        <w:szCs w:val="24"/>
      </w:rPr>
      <w:t xml:space="preserve">CENTRAL CONNECTICUT STATE UNIVERSITY – </w:t>
    </w:r>
    <w:r w:rsidR="0084182B" w:rsidRPr="005701B4">
      <w:rPr>
        <w:b/>
        <w:bCs/>
        <w:szCs w:val="24"/>
      </w:rPr>
      <w:t xml:space="preserve">SCHOOL OF BUSINESS - </w:t>
    </w:r>
    <w:r w:rsidRPr="005701B4">
      <w:rPr>
        <w:b/>
        <w:bCs/>
        <w:szCs w:val="24"/>
      </w:rPr>
      <w:t>DEPARTMENT OF ACCOUNTING</w:t>
    </w:r>
  </w:p>
  <w:p w14:paraId="6D2BCE4A" w14:textId="77777777" w:rsidR="005701B4" w:rsidRPr="005701B4" w:rsidRDefault="005701B4" w:rsidP="005701B4">
    <w:pPr>
      <w:jc w:val="center"/>
      <w:rPr>
        <w:b/>
        <w:caps/>
        <w:szCs w:val="24"/>
      </w:rPr>
    </w:pPr>
    <w:r w:rsidRPr="005701B4">
      <w:rPr>
        <w:b/>
        <w:bCs/>
        <w:szCs w:val="24"/>
      </w:rPr>
      <w:t xml:space="preserve">DEPARTMENT </w:t>
    </w:r>
    <w:r w:rsidRPr="005701B4">
      <w:rPr>
        <w:b/>
        <w:caps/>
        <w:szCs w:val="24"/>
      </w:rPr>
      <w:t>Procedures for Renewal, Tenure, Promotion, and Professional (6th year) Assessment of Tenure-Track Faculty Members</w:t>
    </w:r>
  </w:p>
  <w:p w14:paraId="4495D3E9" w14:textId="77777777" w:rsidR="00F833A8" w:rsidRPr="005701B4" w:rsidRDefault="00F833A8" w:rsidP="007076FB">
    <w:pPr>
      <w:jc w:val="center"/>
      <w:rPr>
        <w:b/>
        <w:bCs/>
        <w:caps/>
        <w:szCs w:val="24"/>
      </w:rPr>
    </w:pPr>
  </w:p>
  <w:p w14:paraId="42EF6231" w14:textId="77777777" w:rsidR="00F833A8" w:rsidRDefault="00F83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67"/>
    <w:multiLevelType w:val="hybridMultilevel"/>
    <w:tmpl w:val="E3FCF682"/>
    <w:lvl w:ilvl="0" w:tplc="44FE3D88">
      <w:start w:val="1"/>
      <w:numFmt w:val="lowerLetter"/>
      <w:lvlText w:val="%1."/>
      <w:lvlJc w:val="left"/>
      <w:pPr>
        <w:ind w:left="2448"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06F46C50"/>
    <w:multiLevelType w:val="hybridMultilevel"/>
    <w:tmpl w:val="2FE61648"/>
    <w:lvl w:ilvl="0" w:tplc="E038485A">
      <w:start w:val="2"/>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B5A2B79"/>
    <w:multiLevelType w:val="hybridMultilevel"/>
    <w:tmpl w:val="9D5C49C4"/>
    <w:lvl w:ilvl="0" w:tplc="9C5C1394">
      <w:start w:val="1"/>
      <w:numFmt w:val="upperLetter"/>
      <w:lvlText w:val="%1."/>
      <w:lvlJc w:val="left"/>
      <w:pPr>
        <w:ind w:left="1725" w:hanging="435"/>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0EE7709E"/>
    <w:multiLevelType w:val="hybridMultilevel"/>
    <w:tmpl w:val="5EC2A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F5729"/>
    <w:multiLevelType w:val="hybridMultilevel"/>
    <w:tmpl w:val="71A40270"/>
    <w:lvl w:ilvl="0" w:tplc="E616A050">
      <w:start w:val="1"/>
      <w:numFmt w:val="upperLetter"/>
      <w:lvlText w:val="%1."/>
      <w:lvlJc w:val="left"/>
      <w:pPr>
        <w:ind w:left="1725" w:hanging="435"/>
      </w:pPr>
      <w:rPr>
        <w:rFonts w:hint="default"/>
        <w:u w:val="non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16322DE9"/>
    <w:multiLevelType w:val="hybridMultilevel"/>
    <w:tmpl w:val="CF28EA88"/>
    <w:lvl w:ilvl="0" w:tplc="BB124A24">
      <w:start w:val="1"/>
      <w:numFmt w:val="upperLetter"/>
      <w:lvlText w:val="%1."/>
      <w:lvlJc w:val="left"/>
      <w:pPr>
        <w:ind w:left="1725" w:hanging="435"/>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6" w15:restartNumberingAfterBreak="0">
    <w:nsid w:val="19E34125"/>
    <w:multiLevelType w:val="hybridMultilevel"/>
    <w:tmpl w:val="97504D8A"/>
    <w:lvl w:ilvl="0" w:tplc="7ED29EA8">
      <w:start w:val="1"/>
      <w:numFmt w:val="upperLetter"/>
      <w:lvlText w:val="%1."/>
      <w:lvlJc w:val="left"/>
      <w:pPr>
        <w:ind w:left="16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D5060"/>
    <w:multiLevelType w:val="hybridMultilevel"/>
    <w:tmpl w:val="813E8A56"/>
    <w:lvl w:ilvl="0" w:tplc="4E266F10">
      <w:start w:val="1"/>
      <w:numFmt w:val="lowerLetter"/>
      <w:lvlText w:val="%1."/>
      <w:lvlJc w:val="left"/>
      <w:pPr>
        <w:ind w:left="792"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1D11A46"/>
    <w:multiLevelType w:val="hybridMultilevel"/>
    <w:tmpl w:val="CFB2583E"/>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47846AB"/>
    <w:multiLevelType w:val="hybridMultilevel"/>
    <w:tmpl w:val="A2C01A06"/>
    <w:lvl w:ilvl="0" w:tplc="A6742B36">
      <w:start w:val="8"/>
      <w:numFmt w:val="lowerLetter"/>
      <w:lvlText w:val="%1."/>
      <w:lvlJc w:val="left"/>
      <w:pPr>
        <w:ind w:left="36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52826B0"/>
    <w:multiLevelType w:val="hybridMultilevel"/>
    <w:tmpl w:val="E1760782"/>
    <w:lvl w:ilvl="0" w:tplc="0409000F">
      <w:start w:val="1"/>
      <w:numFmt w:val="decimal"/>
      <w:lvlText w:val="%1."/>
      <w:lvlJc w:val="left"/>
      <w:pPr>
        <w:ind w:left="2088" w:hanging="360"/>
      </w:pPr>
    </w:lvl>
    <w:lvl w:ilvl="1" w:tplc="0409000F">
      <w:start w:val="1"/>
      <w:numFmt w:val="decimal"/>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15:restartNumberingAfterBreak="0">
    <w:nsid w:val="263D3706"/>
    <w:multiLevelType w:val="hybridMultilevel"/>
    <w:tmpl w:val="F036E4D8"/>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2" w15:restartNumberingAfterBreak="0">
    <w:nsid w:val="26A77F08"/>
    <w:multiLevelType w:val="hybridMultilevel"/>
    <w:tmpl w:val="AE94F886"/>
    <w:lvl w:ilvl="0" w:tplc="04090019">
      <w:start w:val="1"/>
      <w:numFmt w:val="lowerLetter"/>
      <w:lvlText w:val="%1."/>
      <w:lvlJc w:val="left"/>
      <w:pPr>
        <w:ind w:left="2520" w:hanging="360"/>
      </w:pPr>
      <w:rPr>
        <w:rFonts w:hint="default"/>
      </w:rPr>
    </w:lvl>
    <w:lvl w:ilvl="1" w:tplc="D228D0F4">
      <w:start w:val="1"/>
      <w:numFmt w:val="upperRoman"/>
      <w:lvlText w:val="%2."/>
      <w:lvlJc w:val="left"/>
      <w:pPr>
        <w:ind w:left="2235" w:hanging="720"/>
      </w:pPr>
      <w:rPr>
        <w:rFonts w:hint="default"/>
        <w:b/>
      </w:rPr>
    </w:lvl>
    <w:lvl w:ilvl="2" w:tplc="0409001B" w:tentative="1">
      <w:start w:val="1"/>
      <w:numFmt w:val="lowerRoman"/>
      <w:lvlText w:val="%3."/>
      <w:lvlJc w:val="right"/>
      <w:pPr>
        <w:ind w:left="2595" w:hanging="180"/>
      </w:pPr>
    </w:lvl>
    <w:lvl w:ilvl="3" w:tplc="0409000F">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27C26D3E"/>
    <w:multiLevelType w:val="hybridMultilevel"/>
    <w:tmpl w:val="916C3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7696F"/>
    <w:multiLevelType w:val="hybridMultilevel"/>
    <w:tmpl w:val="A8DCA5C0"/>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33BD044C"/>
    <w:multiLevelType w:val="hybridMultilevel"/>
    <w:tmpl w:val="0672AB18"/>
    <w:lvl w:ilvl="0" w:tplc="E038485A">
      <w:start w:val="3"/>
      <w:numFmt w:val="lowerLetter"/>
      <w:lvlText w:val="%1."/>
      <w:lvlJc w:val="left"/>
      <w:pPr>
        <w:ind w:left="2085" w:hanging="360"/>
      </w:pPr>
      <w:rPr>
        <w:rFonts w:hint="default"/>
      </w:rPr>
    </w:lvl>
    <w:lvl w:ilvl="1" w:tplc="E038485A">
      <w:start w:val="2"/>
      <w:numFmt w:val="lowerLetter"/>
      <w:lvlText w:val="%2."/>
      <w:lvlJc w:val="left"/>
      <w:pPr>
        <w:ind w:left="2805" w:hanging="360"/>
      </w:pPr>
      <w:rPr>
        <w:rFonts w:hint="default"/>
      </w:r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6" w15:restartNumberingAfterBreak="0">
    <w:nsid w:val="34417091"/>
    <w:multiLevelType w:val="hybridMultilevel"/>
    <w:tmpl w:val="6B38DBEC"/>
    <w:lvl w:ilvl="0" w:tplc="E038485A">
      <w:start w:val="3"/>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15:restartNumberingAfterBreak="0">
    <w:nsid w:val="346418CD"/>
    <w:multiLevelType w:val="hybridMultilevel"/>
    <w:tmpl w:val="6EBC7A6C"/>
    <w:lvl w:ilvl="0" w:tplc="E03848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53423"/>
    <w:multiLevelType w:val="hybridMultilevel"/>
    <w:tmpl w:val="D57A35EA"/>
    <w:lvl w:ilvl="0" w:tplc="EBE8B8BE">
      <w:start w:val="1"/>
      <w:numFmt w:val="lowerLetter"/>
      <w:lvlText w:val="%1."/>
      <w:lvlJc w:val="left"/>
      <w:pPr>
        <w:ind w:left="230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47F2210"/>
    <w:multiLevelType w:val="hybridMultilevel"/>
    <w:tmpl w:val="01DA5536"/>
    <w:lvl w:ilvl="0" w:tplc="5BA0921E">
      <w:start w:val="1"/>
      <w:numFmt w:val="lowerRoman"/>
      <w:lvlText w:val="%1."/>
      <w:lvlJc w:val="right"/>
      <w:pPr>
        <w:ind w:left="1080"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34EE572C"/>
    <w:multiLevelType w:val="hybridMultilevel"/>
    <w:tmpl w:val="EFBECAB8"/>
    <w:lvl w:ilvl="0" w:tplc="751E725A">
      <w:start w:val="1"/>
      <w:numFmt w:val="lowerLetter"/>
      <w:lvlText w:val="%1."/>
      <w:lvlJc w:val="left"/>
      <w:pPr>
        <w:ind w:left="252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38780F48"/>
    <w:multiLevelType w:val="hybridMultilevel"/>
    <w:tmpl w:val="FA2034AE"/>
    <w:lvl w:ilvl="0" w:tplc="04090019">
      <w:start w:val="1"/>
      <w:numFmt w:val="lowerLetter"/>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22" w15:restartNumberingAfterBreak="0">
    <w:nsid w:val="38E974D1"/>
    <w:multiLevelType w:val="hybridMultilevel"/>
    <w:tmpl w:val="98B4AC8C"/>
    <w:lvl w:ilvl="0" w:tplc="E03848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86F59"/>
    <w:multiLevelType w:val="hybridMultilevel"/>
    <w:tmpl w:val="09B00D0A"/>
    <w:lvl w:ilvl="0" w:tplc="D25EDB66">
      <w:start w:val="3"/>
      <w:numFmt w:val="low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A47FA"/>
    <w:multiLevelType w:val="hybridMultilevel"/>
    <w:tmpl w:val="62D62A4C"/>
    <w:lvl w:ilvl="0" w:tplc="E038485A">
      <w:start w:val="3"/>
      <w:numFmt w:val="lowerLetter"/>
      <w:lvlText w:val="%1."/>
      <w:lvlJc w:val="left"/>
      <w:pPr>
        <w:ind w:left="2883" w:hanging="360"/>
      </w:pPr>
      <w:rPr>
        <w:rFonts w:hint="default"/>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25" w15:restartNumberingAfterBreak="0">
    <w:nsid w:val="3E8366D4"/>
    <w:multiLevelType w:val="hybridMultilevel"/>
    <w:tmpl w:val="5CDA84A8"/>
    <w:lvl w:ilvl="0" w:tplc="751E725A">
      <w:start w:val="1"/>
      <w:numFmt w:val="lowerLetter"/>
      <w:lvlText w:val="%1."/>
      <w:lvlJc w:val="left"/>
      <w:pPr>
        <w:ind w:left="20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B6980"/>
    <w:multiLevelType w:val="hybridMultilevel"/>
    <w:tmpl w:val="45AE7D4A"/>
    <w:lvl w:ilvl="0" w:tplc="97D08198">
      <w:start w:val="1"/>
      <w:numFmt w:val="lowerLetter"/>
      <w:lvlText w:val="%1."/>
      <w:lvlJc w:val="left"/>
      <w:pPr>
        <w:ind w:left="2595" w:hanging="43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5E7042C"/>
    <w:multiLevelType w:val="hybridMultilevel"/>
    <w:tmpl w:val="9354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F050B"/>
    <w:multiLevelType w:val="hybridMultilevel"/>
    <w:tmpl w:val="0CB018F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6EC1D9B"/>
    <w:multiLevelType w:val="hybridMultilevel"/>
    <w:tmpl w:val="1EAE7AF6"/>
    <w:lvl w:ilvl="0" w:tplc="04090015">
      <w:start w:val="1"/>
      <w:numFmt w:val="upperLetter"/>
      <w:lvlText w:val="%1."/>
      <w:lvlJc w:val="left"/>
      <w:pPr>
        <w:ind w:left="1656" w:hanging="360"/>
      </w:pPr>
    </w:lvl>
    <w:lvl w:ilvl="1" w:tplc="DF80B4D8">
      <w:start w:val="1"/>
      <w:numFmt w:val="decimal"/>
      <w:lvlText w:val="%2."/>
      <w:lvlJc w:val="left"/>
      <w:pPr>
        <w:ind w:left="2451" w:hanging="435"/>
      </w:pPr>
      <w:rPr>
        <w:rFonts w:hint="default"/>
      </w:rPr>
    </w:lvl>
    <w:lvl w:ilvl="2" w:tplc="C50CF546">
      <w:start w:val="1"/>
      <w:numFmt w:val="lowerRoman"/>
      <w:lvlText w:val="%3."/>
      <w:lvlJc w:val="left"/>
      <w:pPr>
        <w:ind w:left="3636" w:hanging="720"/>
      </w:pPr>
      <w:rPr>
        <w:rFonts w:hint="default"/>
      </w:r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0" w15:restartNumberingAfterBreak="0">
    <w:nsid w:val="476243FE"/>
    <w:multiLevelType w:val="hybridMultilevel"/>
    <w:tmpl w:val="93EC57EE"/>
    <w:lvl w:ilvl="0" w:tplc="0409000F">
      <w:start w:val="1"/>
      <w:numFmt w:val="decimal"/>
      <w:lvlText w:val="%1."/>
      <w:lvlJc w:val="left"/>
      <w:pPr>
        <w:ind w:left="2088" w:hanging="360"/>
      </w:pPr>
    </w:lvl>
    <w:lvl w:ilvl="1" w:tplc="0409000F">
      <w:start w:val="1"/>
      <w:numFmt w:val="decimal"/>
      <w:lvlText w:val="%2."/>
      <w:lvlJc w:val="left"/>
      <w:pPr>
        <w:ind w:left="2808" w:hanging="360"/>
      </w:pPr>
    </w:lvl>
    <w:lvl w:ilvl="2" w:tplc="B0426774">
      <w:start w:val="1"/>
      <w:numFmt w:val="lowerLetter"/>
      <w:lvlText w:val="%3."/>
      <w:lvlJc w:val="left"/>
      <w:pPr>
        <w:ind w:left="3708" w:hanging="360"/>
      </w:pPr>
      <w:rPr>
        <w:rFonts w:hint="default"/>
      </w:r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1" w15:restartNumberingAfterBreak="0">
    <w:nsid w:val="487D2373"/>
    <w:multiLevelType w:val="hybridMultilevel"/>
    <w:tmpl w:val="9356E9D8"/>
    <w:lvl w:ilvl="0" w:tplc="EE2C9A60">
      <w:start w:val="1"/>
      <w:numFmt w:val="upperRoman"/>
      <w:lvlText w:val="%1."/>
      <w:lvlJc w:val="right"/>
      <w:pPr>
        <w:ind w:left="720" w:hanging="360"/>
      </w:pPr>
      <w:rPr>
        <w:rFonts w:hint="default"/>
        <w:b/>
        <w:i w:val="0"/>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61BDE"/>
    <w:multiLevelType w:val="hybridMultilevel"/>
    <w:tmpl w:val="827098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DE5683D"/>
    <w:multiLevelType w:val="hybridMultilevel"/>
    <w:tmpl w:val="3BB86330"/>
    <w:lvl w:ilvl="0" w:tplc="D5C8F1BC">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4" w15:restartNumberingAfterBreak="0">
    <w:nsid w:val="618B6315"/>
    <w:multiLevelType w:val="hybridMultilevel"/>
    <w:tmpl w:val="358E1982"/>
    <w:lvl w:ilvl="0" w:tplc="0B424E2E">
      <w:start w:val="3"/>
      <w:numFmt w:val="lowerLetter"/>
      <w:lvlText w:val="%1."/>
      <w:lvlJc w:val="left"/>
      <w:pPr>
        <w:ind w:left="1872"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B78D5"/>
    <w:multiLevelType w:val="hybridMultilevel"/>
    <w:tmpl w:val="97E83384"/>
    <w:lvl w:ilvl="0" w:tplc="3D1013E4">
      <w:start w:val="1"/>
      <w:numFmt w:val="upperLetter"/>
      <w:lvlText w:val="%1."/>
      <w:lvlJc w:val="left"/>
      <w:pPr>
        <w:ind w:left="1725" w:hanging="435"/>
      </w:pPr>
      <w:rPr>
        <w:rFonts w:hint="default"/>
        <w:u w:val="non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6" w15:restartNumberingAfterBreak="0">
    <w:nsid w:val="630A5194"/>
    <w:multiLevelType w:val="hybridMultilevel"/>
    <w:tmpl w:val="C8864C5E"/>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4F14C45"/>
    <w:multiLevelType w:val="hybridMultilevel"/>
    <w:tmpl w:val="6DA267B2"/>
    <w:lvl w:ilvl="0" w:tplc="30245FD8">
      <w:start w:val="5"/>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8" w15:restartNumberingAfterBreak="0">
    <w:nsid w:val="679C07BA"/>
    <w:multiLevelType w:val="hybridMultilevel"/>
    <w:tmpl w:val="39108178"/>
    <w:lvl w:ilvl="0" w:tplc="2DD223E0">
      <w:start w:val="4"/>
      <w:numFmt w:val="decimal"/>
      <w:lvlText w:val="%1."/>
      <w:lvlJc w:val="left"/>
      <w:pPr>
        <w:ind w:left="2085" w:hanging="360"/>
      </w:pPr>
      <w:rPr>
        <w:rFonts w:hint="default"/>
      </w:rPr>
    </w:lvl>
    <w:lvl w:ilvl="1" w:tplc="E038485A">
      <w:start w:val="2"/>
      <w:numFmt w:val="lowerLetter"/>
      <w:lvlText w:val="%2."/>
      <w:lvlJc w:val="left"/>
      <w:pPr>
        <w:ind w:left="2805" w:hanging="360"/>
      </w:pPr>
      <w:rPr>
        <w:rFonts w:hint="default"/>
      </w:r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9" w15:restartNumberingAfterBreak="0">
    <w:nsid w:val="6AAF16CC"/>
    <w:multiLevelType w:val="hybridMultilevel"/>
    <w:tmpl w:val="E2FA2AB2"/>
    <w:lvl w:ilvl="0" w:tplc="0409001B">
      <w:start w:val="1"/>
      <w:numFmt w:val="lowerRoman"/>
      <w:lvlText w:val="%1."/>
      <w:lvlJc w:val="righ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rPr>
        <w:rFonts w:hint="default"/>
      </w:r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0" w15:restartNumberingAfterBreak="0">
    <w:nsid w:val="6D4B1CA5"/>
    <w:multiLevelType w:val="hybridMultilevel"/>
    <w:tmpl w:val="1498503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FE09C1"/>
    <w:multiLevelType w:val="hybridMultilevel"/>
    <w:tmpl w:val="FA1E13FE"/>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2" w15:restartNumberingAfterBreak="0">
    <w:nsid w:val="78BB6F5C"/>
    <w:multiLevelType w:val="hybridMultilevel"/>
    <w:tmpl w:val="EB8C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83503"/>
    <w:multiLevelType w:val="hybridMultilevel"/>
    <w:tmpl w:val="C62296AE"/>
    <w:lvl w:ilvl="0" w:tplc="1714C97A">
      <w:start w:val="8"/>
      <w:numFmt w:val="lowerLetter"/>
      <w:lvlText w:val="%1."/>
      <w:lvlJc w:val="left"/>
      <w:pPr>
        <w:ind w:left="79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4" w15:restartNumberingAfterBreak="0">
    <w:nsid w:val="7E2069BE"/>
    <w:multiLevelType w:val="hybridMultilevel"/>
    <w:tmpl w:val="93FA8528"/>
    <w:lvl w:ilvl="0" w:tplc="B1FA6996">
      <w:start w:val="3"/>
      <w:numFmt w:val="upperRoman"/>
      <w:lvlText w:val="%1."/>
      <w:lvlJc w:val="right"/>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974B7"/>
    <w:multiLevelType w:val="hybridMultilevel"/>
    <w:tmpl w:val="9B06D25C"/>
    <w:lvl w:ilvl="0" w:tplc="EBE8B8BE">
      <w:start w:val="1"/>
      <w:numFmt w:val="lowerLetter"/>
      <w:lvlText w:val="%1."/>
      <w:lvlJc w:val="left"/>
      <w:pPr>
        <w:ind w:left="187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B1465"/>
    <w:multiLevelType w:val="hybridMultilevel"/>
    <w:tmpl w:val="40DC918C"/>
    <w:lvl w:ilvl="0" w:tplc="A6742B36">
      <w:start w:val="8"/>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48649">
    <w:abstractNumId w:val="38"/>
  </w:num>
  <w:num w:numId="2" w16cid:durableId="1819372563">
    <w:abstractNumId w:val="24"/>
  </w:num>
  <w:num w:numId="3" w16cid:durableId="13969824">
    <w:abstractNumId w:val="22"/>
  </w:num>
  <w:num w:numId="4" w16cid:durableId="118691893">
    <w:abstractNumId w:val="20"/>
  </w:num>
  <w:num w:numId="5" w16cid:durableId="785582970">
    <w:abstractNumId w:val="25"/>
  </w:num>
  <w:num w:numId="6" w16cid:durableId="987903311">
    <w:abstractNumId w:val="26"/>
  </w:num>
  <w:num w:numId="7" w16cid:durableId="383985900">
    <w:abstractNumId w:val="15"/>
  </w:num>
  <w:num w:numId="8" w16cid:durableId="1306735656">
    <w:abstractNumId w:val="0"/>
  </w:num>
  <w:num w:numId="9" w16cid:durableId="1096251074">
    <w:abstractNumId w:val="17"/>
  </w:num>
  <w:num w:numId="10" w16cid:durableId="1762675205">
    <w:abstractNumId w:val="16"/>
  </w:num>
  <w:num w:numId="11" w16cid:durableId="20133455">
    <w:abstractNumId w:val="12"/>
  </w:num>
  <w:num w:numId="12" w16cid:durableId="423691291">
    <w:abstractNumId w:val="42"/>
  </w:num>
  <w:num w:numId="13" w16cid:durableId="181824558">
    <w:abstractNumId w:val="13"/>
  </w:num>
  <w:num w:numId="14" w16cid:durableId="346059366">
    <w:abstractNumId w:val="21"/>
  </w:num>
  <w:num w:numId="15" w16cid:durableId="895581154">
    <w:abstractNumId w:val="8"/>
  </w:num>
  <w:num w:numId="16" w16cid:durableId="1655448858">
    <w:abstractNumId w:val="37"/>
  </w:num>
  <w:num w:numId="17" w16cid:durableId="300497768">
    <w:abstractNumId w:val="32"/>
  </w:num>
  <w:num w:numId="18" w16cid:durableId="1041593862">
    <w:abstractNumId w:val="46"/>
  </w:num>
  <w:num w:numId="19" w16cid:durableId="1880507924">
    <w:abstractNumId w:val="9"/>
  </w:num>
  <w:num w:numId="20" w16cid:durableId="1812333046">
    <w:abstractNumId w:val="43"/>
  </w:num>
  <w:num w:numId="21" w16cid:durableId="705181067">
    <w:abstractNumId w:val="36"/>
  </w:num>
  <w:num w:numId="22" w16cid:durableId="1886718777">
    <w:abstractNumId w:val="5"/>
  </w:num>
  <w:num w:numId="23" w16cid:durableId="1819103749">
    <w:abstractNumId w:val="29"/>
  </w:num>
  <w:num w:numId="24" w16cid:durableId="890388773">
    <w:abstractNumId w:val="2"/>
  </w:num>
  <w:num w:numId="25" w16cid:durableId="1009143067">
    <w:abstractNumId w:val="10"/>
  </w:num>
  <w:num w:numId="26" w16cid:durableId="904293107">
    <w:abstractNumId w:val="30"/>
  </w:num>
  <w:num w:numId="27" w16cid:durableId="604582384">
    <w:abstractNumId w:val="35"/>
  </w:num>
  <w:num w:numId="28" w16cid:durableId="1402485949">
    <w:abstractNumId w:val="6"/>
  </w:num>
  <w:num w:numId="29" w16cid:durableId="1684479995">
    <w:abstractNumId w:val="4"/>
  </w:num>
  <w:num w:numId="30" w16cid:durableId="1009336289">
    <w:abstractNumId w:val="7"/>
  </w:num>
  <w:num w:numId="31" w16cid:durableId="545408037">
    <w:abstractNumId w:val="39"/>
  </w:num>
  <w:num w:numId="32" w16cid:durableId="1985694903">
    <w:abstractNumId w:val="19"/>
  </w:num>
  <w:num w:numId="33" w16cid:durableId="1180270196">
    <w:abstractNumId w:val="31"/>
  </w:num>
  <w:num w:numId="34" w16cid:durableId="291059090">
    <w:abstractNumId w:val="14"/>
  </w:num>
  <w:num w:numId="35" w16cid:durableId="2061778704">
    <w:abstractNumId w:val="1"/>
  </w:num>
  <w:num w:numId="36" w16cid:durableId="1825314884">
    <w:abstractNumId w:val="23"/>
  </w:num>
  <w:num w:numId="37" w16cid:durableId="45837662">
    <w:abstractNumId w:val="41"/>
  </w:num>
  <w:num w:numId="38" w16cid:durableId="900750376">
    <w:abstractNumId w:val="3"/>
  </w:num>
  <w:num w:numId="39" w16cid:durableId="1233467154">
    <w:abstractNumId w:val="44"/>
  </w:num>
  <w:num w:numId="40" w16cid:durableId="1998603636">
    <w:abstractNumId w:val="45"/>
  </w:num>
  <w:num w:numId="41" w16cid:durableId="537861755">
    <w:abstractNumId w:val="18"/>
  </w:num>
  <w:num w:numId="42" w16cid:durableId="1768771193">
    <w:abstractNumId w:val="28"/>
  </w:num>
  <w:num w:numId="43" w16cid:durableId="438794110">
    <w:abstractNumId w:val="40"/>
  </w:num>
  <w:num w:numId="44" w16cid:durableId="2080007981">
    <w:abstractNumId w:val="34"/>
  </w:num>
  <w:num w:numId="45" w16cid:durableId="1204246418">
    <w:abstractNumId w:val="11"/>
  </w:num>
  <w:num w:numId="46" w16cid:durableId="197083382">
    <w:abstractNumId w:val="33"/>
  </w:num>
  <w:num w:numId="47" w16cid:durableId="17726299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drawingGridHorizontalSpacing w:val="24"/>
  <w:drawingGridVerticalSpacing w:val="65"/>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1"/>
    <w:rsid w:val="00012100"/>
    <w:rsid w:val="000125CB"/>
    <w:rsid w:val="00024E87"/>
    <w:rsid w:val="00037224"/>
    <w:rsid w:val="00040732"/>
    <w:rsid w:val="000564DB"/>
    <w:rsid w:val="00065C2A"/>
    <w:rsid w:val="00066344"/>
    <w:rsid w:val="00072648"/>
    <w:rsid w:val="00072DBB"/>
    <w:rsid w:val="0007607B"/>
    <w:rsid w:val="000848CD"/>
    <w:rsid w:val="00084F8A"/>
    <w:rsid w:val="00095232"/>
    <w:rsid w:val="000A1013"/>
    <w:rsid w:val="000B6EF6"/>
    <w:rsid w:val="000C42FB"/>
    <w:rsid w:val="000C4E20"/>
    <w:rsid w:val="000D22A3"/>
    <w:rsid w:val="000E4750"/>
    <w:rsid w:val="000F2415"/>
    <w:rsid w:val="000F4523"/>
    <w:rsid w:val="001031C9"/>
    <w:rsid w:val="00111AD7"/>
    <w:rsid w:val="00112FBA"/>
    <w:rsid w:val="00125329"/>
    <w:rsid w:val="0012602C"/>
    <w:rsid w:val="00127827"/>
    <w:rsid w:val="001301CA"/>
    <w:rsid w:val="00153BDB"/>
    <w:rsid w:val="001606D7"/>
    <w:rsid w:val="00160CDD"/>
    <w:rsid w:val="0017194F"/>
    <w:rsid w:val="00172A95"/>
    <w:rsid w:val="0017306A"/>
    <w:rsid w:val="00177DE4"/>
    <w:rsid w:val="0018326C"/>
    <w:rsid w:val="00192207"/>
    <w:rsid w:val="00192E5E"/>
    <w:rsid w:val="001936C8"/>
    <w:rsid w:val="00194067"/>
    <w:rsid w:val="001A25F9"/>
    <w:rsid w:val="001A5B29"/>
    <w:rsid w:val="001A6BCD"/>
    <w:rsid w:val="001C6D77"/>
    <w:rsid w:val="001C73F7"/>
    <w:rsid w:val="001D5B16"/>
    <w:rsid w:val="001D72F3"/>
    <w:rsid w:val="00201663"/>
    <w:rsid w:val="0020212C"/>
    <w:rsid w:val="00215C62"/>
    <w:rsid w:val="00216736"/>
    <w:rsid w:val="00217FF2"/>
    <w:rsid w:val="00236DE3"/>
    <w:rsid w:val="00240DE6"/>
    <w:rsid w:val="0025366B"/>
    <w:rsid w:val="00264136"/>
    <w:rsid w:val="002643E6"/>
    <w:rsid w:val="00280C4C"/>
    <w:rsid w:val="00283304"/>
    <w:rsid w:val="00296E7F"/>
    <w:rsid w:val="002A55B8"/>
    <w:rsid w:val="002A7994"/>
    <w:rsid w:val="002B1544"/>
    <w:rsid w:val="002B56A6"/>
    <w:rsid w:val="002E5815"/>
    <w:rsid w:val="002F684C"/>
    <w:rsid w:val="00307B61"/>
    <w:rsid w:val="00314F57"/>
    <w:rsid w:val="003211CE"/>
    <w:rsid w:val="00321C4C"/>
    <w:rsid w:val="00337E68"/>
    <w:rsid w:val="00347415"/>
    <w:rsid w:val="0035471C"/>
    <w:rsid w:val="003639E9"/>
    <w:rsid w:val="003707A5"/>
    <w:rsid w:val="00375163"/>
    <w:rsid w:val="00377456"/>
    <w:rsid w:val="003970F7"/>
    <w:rsid w:val="003A21AC"/>
    <w:rsid w:val="003A26D5"/>
    <w:rsid w:val="003A60CD"/>
    <w:rsid w:val="003C00F0"/>
    <w:rsid w:val="003C0DAF"/>
    <w:rsid w:val="003C2B69"/>
    <w:rsid w:val="003C4C76"/>
    <w:rsid w:val="003C4FE1"/>
    <w:rsid w:val="003C6E6D"/>
    <w:rsid w:val="003C73D8"/>
    <w:rsid w:val="003D0253"/>
    <w:rsid w:val="003E2002"/>
    <w:rsid w:val="003F0711"/>
    <w:rsid w:val="00407674"/>
    <w:rsid w:val="00421FC3"/>
    <w:rsid w:val="00454263"/>
    <w:rsid w:val="00462E48"/>
    <w:rsid w:val="004666F1"/>
    <w:rsid w:val="004724CB"/>
    <w:rsid w:val="00476E4D"/>
    <w:rsid w:val="004A6A88"/>
    <w:rsid w:val="004C17D7"/>
    <w:rsid w:val="004C60AF"/>
    <w:rsid w:val="004D1463"/>
    <w:rsid w:val="004D330E"/>
    <w:rsid w:val="004D3371"/>
    <w:rsid w:val="004D45DC"/>
    <w:rsid w:val="004E04AE"/>
    <w:rsid w:val="004E5326"/>
    <w:rsid w:val="004F0B4A"/>
    <w:rsid w:val="004F3C2F"/>
    <w:rsid w:val="00504928"/>
    <w:rsid w:val="00510C08"/>
    <w:rsid w:val="0052229F"/>
    <w:rsid w:val="00524CAD"/>
    <w:rsid w:val="005278E4"/>
    <w:rsid w:val="0053294B"/>
    <w:rsid w:val="0054018F"/>
    <w:rsid w:val="00547DB5"/>
    <w:rsid w:val="00547F66"/>
    <w:rsid w:val="005515D4"/>
    <w:rsid w:val="005533CD"/>
    <w:rsid w:val="00553DDB"/>
    <w:rsid w:val="00556DD0"/>
    <w:rsid w:val="00560B75"/>
    <w:rsid w:val="00561736"/>
    <w:rsid w:val="005701B4"/>
    <w:rsid w:val="00570221"/>
    <w:rsid w:val="0057096A"/>
    <w:rsid w:val="00574285"/>
    <w:rsid w:val="005752E7"/>
    <w:rsid w:val="0059095B"/>
    <w:rsid w:val="005977F1"/>
    <w:rsid w:val="005C4471"/>
    <w:rsid w:val="005C74A4"/>
    <w:rsid w:val="005D0558"/>
    <w:rsid w:val="005D2449"/>
    <w:rsid w:val="005D29C3"/>
    <w:rsid w:val="0060561A"/>
    <w:rsid w:val="0061050A"/>
    <w:rsid w:val="006373CB"/>
    <w:rsid w:val="00640783"/>
    <w:rsid w:val="00641FA7"/>
    <w:rsid w:val="00643546"/>
    <w:rsid w:val="006452FD"/>
    <w:rsid w:val="0065045B"/>
    <w:rsid w:val="00657A3E"/>
    <w:rsid w:val="00666C42"/>
    <w:rsid w:val="00672AC5"/>
    <w:rsid w:val="00683667"/>
    <w:rsid w:val="00696EA7"/>
    <w:rsid w:val="006A1B2D"/>
    <w:rsid w:val="006B2114"/>
    <w:rsid w:val="006C117B"/>
    <w:rsid w:val="006C45F8"/>
    <w:rsid w:val="006E6049"/>
    <w:rsid w:val="006E7A13"/>
    <w:rsid w:val="00702DF8"/>
    <w:rsid w:val="007032A5"/>
    <w:rsid w:val="00705C73"/>
    <w:rsid w:val="007076FB"/>
    <w:rsid w:val="00730E1F"/>
    <w:rsid w:val="007331E7"/>
    <w:rsid w:val="00746CC3"/>
    <w:rsid w:val="00766C95"/>
    <w:rsid w:val="00767C18"/>
    <w:rsid w:val="00770F49"/>
    <w:rsid w:val="00773BF2"/>
    <w:rsid w:val="007808E0"/>
    <w:rsid w:val="007B2B3F"/>
    <w:rsid w:val="007D37E9"/>
    <w:rsid w:val="007D5F52"/>
    <w:rsid w:val="007E2B68"/>
    <w:rsid w:val="007F187B"/>
    <w:rsid w:val="00807FC4"/>
    <w:rsid w:val="00811669"/>
    <w:rsid w:val="00822D98"/>
    <w:rsid w:val="00833D21"/>
    <w:rsid w:val="00834245"/>
    <w:rsid w:val="0084182B"/>
    <w:rsid w:val="00844EEC"/>
    <w:rsid w:val="00852D18"/>
    <w:rsid w:val="00863231"/>
    <w:rsid w:val="0086369E"/>
    <w:rsid w:val="00863FC8"/>
    <w:rsid w:val="00864B74"/>
    <w:rsid w:val="00871F86"/>
    <w:rsid w:val="00884000"/>
    <w:rsid w:val="008852D9"/>
    <w:rsid w:val="00886669"/>
    <w:rsid w:val="008933A5"/>
    <w:rsid w:val="00895674"/>
    <w:rsid w:val="008A30A9"/>
    <w:rsid w:val="008B151E"/>
    <w:rsid w:val="008D7878"/>
    <w:rsid w:val="008E21BF"/>
    <w:rsid w:val="0090747E"/>
    <w:rsid w:val="00927EF0"/>
    <w:rsid w:val="00931212"/>
    <w:rsid w:val="0095117F"/>
    <w:rsid w:val="00954D4D"/>
    <w:rsid w:val="00956EE5"/>
    <w:rsid w:val="00962C31"/>
    <w:rsid w:val="009832BE"/>
    <w:rsid w:val="009979D2"/>
    <w:rsid w:val="009A1451"/>
    <w:rsid w:val="009A6796"/>
    <w:rsid w:val="009D710A"/>
    <w:rsid w:val="009E1DC1"/>
    <w:rsid w:val="00A02780"/>
    <w:rsid w:val="00A03BFB"/>
    <w:rsid w:val="00A04A5A"/>
    <w:rsid w:val="00A14E1F"/>
    <w:rsid w:val="00A177CC"/>
    <w:rsid w:val="00A17D1F"/>
    <w:rsid w:val="00A22489"/>
    <w:rsid w:val="00A245CA"/>
    <w:rsid w:val="00A26580"/>
    <w:rsid w:val="00A427BF"/>
    <w:rsid w:val="00A60DE9"/>
    <w:rsid w:val="00A62661"/>
    <w:rsid w:val="00A773CF"/>
    <w:rsid w:val="00A92D55"/>
    <w:rsid w:val="00A94B26"/>
    <w:rsid w:val="00AA4412"/>
    <w:rsid w:val="00AB5B07"/>
    <w:rsid w:val="00AC09D5"/>
    <w:rsid w:val="00AC5290"/>
    <w:rsid w:val="00AD5378"/>
    <w:rsid w:val="00AD70A6"/>
    <w:rsid w:val="00AE1B7F"/>
    <w:rsid w:val="00AE1EFD"/>
    <w:rsid w:val="00B02FFD"/>
    <w:rsid w:val="00B03052"/>
    <w:rsid w:val="00B06BF1"/>
    <w:rsid w:val="00B10236"/>
    <w:rsid w:val="00B146A0"/>
    <w:rsid w:val="00B2506F"/>
    <w:rsid w:val="00B3324E"/>
    <w:rsid w:val="00B431E2"/>
    <w:rsid w:val="00B43395"/>
    <w:rsid w:val="00B47015"/>
    <w:rsid w:val="00B6297E"/>
    <w:rsid w:val="00B66B55"/>
    <w:rsid w:val="00B832A4"/>
    <w:rsid w:val="00BA096C"/>
    <w:rsid w:val="00BA7E93"/>
    <w:rsid w:val="00BC31D4"/>
    <w:rsid w:val="00BD2F47"/>
    <w:rsid w:val="00BD35DE"/>
    <w:rsid w:val="00BE2E4F"/>
    <w:rsid w:val="00BE49A3"/>
    <w:rsid w:val="00C1053D"/>
    <w:rsid w:val="00C20361"/>
    <w:rsid w:val="00C35CEB"/>
    <w:rsid w:val="00C4293C"/>
    <w:rsid w:val="00C45022"/>
    <w:rsid w:val="00C502E3"/>
    <w:rsid w:val="00C53047"/>
    <w:rsid w:val="00C6128F"/>
    <w:rsid w:val="00C628B2"/>
    <w:rsid w:val="00C73C4C"/>
    <w:rsid w:val="00C752B8"/>
    <w:rsid w:val="00C84C00"/>
    <w:rsid w:val="00C91A65"/>
    <w:rsid w:val="00C951A6"/>
    <w:rsid w:val="00CB4CB2"/>
    <w:rsid w:val="00CB6A80"/>
    <w:rsid w:val="00CD3AD5"/>
    <w:rsid w:val="00CD71A3"/>
    <w:rsid w:val="00CE4F7C"/>
    <w:rsid w:val="00CE579C"/>
    <w:rsid w:val="00CF7426"/>
    <w:rsid w:val="00D11039"/>
    <w:rsid w:val="00D115DE"/>
    <w:rsid w:val="00D17A03"/>
    <w:rsid w:val="00D20539"/>
    <w:rsid w:val="00D226C5"/>
    <w:rsid w:val="00D329CC"/>
    <w:rsid w:val="00D464A3"/>
    <w:rsid w:val="00D800F8"/>
    <w:rsid w:val="00D8176F"/>
    <w:rsid w:val="00D9237C"/>
    <w:rsid w:val="00D936F7"/>
    <w:rsid w:val="00DA6487"/>
    <w:rsid w:val="00DD11DE"/>
    <w:rsid w:val="00DD16FA"/>
    <w:rsid w:val="00DD501C"/>
    <w:rsid w:val="00DE016E"/>
    <w:rsid w:val="00DE3DCF"/>
    <w:rsid w:val="00DE3E37"/>
    <w:rsid w:val="00DE56E6"/>
    <w:rsid w:val="00DE62D7"/>
    <w:rsid w:val="00DF3939"/>
    <w:rsid w:val="00E00D4B"/>
    <w:rsid w:val="00E01AF1"/>
    <w:rsid w:val="00E048C2"/>
    <w:rsid w:val="00E251C2"/>
    <w:rsid w:val="00E25EBA"/>
    <w:rsid w:val="00E301E0"/>
    <w:rsid w:val="00E35D39"/>
    <w:rsid w:val="00E3638F"/>
    <w:rsid w:val="00E4004B"/>
    <w:rsid w:val="00E41898"/>
    <w:rsid w:val="00E515F7"/>
    <w:rsid w:val="00E645C9"/>
    <w:rsid w:val="00E65053"/>
    <w:rsid w:val="00E76BD7"/>
    <w:rsid w:val="00E7772F"/>
    <w:rsid w:val="00E804FF"/>
    <w:rsid w:val="00E84145"/>
    <w:rsid w:val="00EA3692"/>
    <w:rsid w:val="00EA60B1"/>
    <w:rsid w:val="00EA69DE"/>
    <w:rsid w:val="00EB72BB"/>
    <w:rsid w:val="00EC0C2E"/>
    <w:rsid w:val="00EC55A3"/>
    <w:rsid w:val="00ED596F"/>
    <w:rsid w:val="00EE0083"/>
    <w:rsid w:val="00F00B56"/>
    <w:rsid w:val="00F01B4E"/>
    <w:rsid w:val="00F05E64"/>
    <w:rsid w:val="00F064F9"/>
    <w:rsid w:val="00F076A3"/>
    <w:rsid w:val="00F07BF3"/>
    <w:rsid w:val="00F16B44"/>
    <w:rsid w:val="00F2077B"/>
    <w:rsid w:val="00F27E6E"/>
    <w:rsid w:val="00F40CD3"/>
    <w:rsid w:val="00F52E39"/>
    <w:rsid w:val="00F53A41"/>
    <w:rsid w:val="00F70065"/>
    <w:rsid w:val="00F80EC7"/>
    <w:rsid w:val="00F810A0"/>
    <w:rsid w:val="00F833A8"/>
    <w:rsid w:val="00F83AF2"/>
    <w:rsid w:val="00F93CA0"/>
    <w:rsid w:val="00FB3527"/>
    <w:rsid w:val="00FE415D"/>
    <w:rsid w:val="00FE6B40"/>
    <w:rsid w:val="00FF5B5D"/>
    <w:rsid w:val="02577681"/>
    <w:rsid w:val="15CFDAAF"/>
    <w:rsid w:val="332F8B2B"/>
    <w:rsid w:val="60261338"/>
    <w:rsid w:val="66C22D23"/>
    <w:rsid w:val="670FDAE6"/>
    <w:rsid w:val="68ABAB47"/>
    <w:rsid w:val="6B341B5E"/>
    <w:rsid w:val="76C3D9D2"/>
    <w:rsid w:val="7E6FD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DA4D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6FB"/>
    <w:pPr>
      <w:tabs>
        <w:tab w:val="center" w:pos="4320"/>
        <w:tab w:val="right" w:pos="8640"/>
      </w:tabs>
    </w:pPr>
  </w:style>
  <w:style w:type="character" w:customStyle="1" w:styleId="HeaderChar">
    <w:name w:val="Header Char"/>
    <w:link w:val="Header"/>
    <w:uiPriority w:val="99"/>
    <w:rsid w:val="007076FB"/>
    <w:rPr>
      <w:sz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styleId="Footer">
    <w:name w:val="footer"/>
    <w:basedOn w:val="Normal"/>
    <w:link w:val="FooterChar"/>
    <w:uiPriority w:val="99"/>
    <w:unhideWhenUsed/>
    <w:rsid w:val="007076FB"/>
    <w:pPr>
      <w:tabs>
        <w:tab w:val="center" w:pos="4320"/>
        <w:tab w:val="right" w:pos="8640"/>
      </w:tabs>
    </w:pPr>
  </w:style>
  <w:style w:type="character" w:customStyle="1" w:styleId="FooterChar">
    <w:name w:val="Footer Char"/>
    <w:link w:val="Footer"/>
    <w:uiPriority w:val="99"/>
    <w:rsid w:val="007076FB"/>
    <w:rPr>
      <w:sz w:val="24"/>
    </w:rPr>
  </w:style>
  <w:style w:type="character" w:styleId="PageNumber">
    <w:name w:val="page number"/>
    <w:uiPriority w:val="99"/>
    <w:semiHidden/>
    <w:unhideWhenUsed/>
    <w:rsid w:val="007076FB"/>
  </w:style>
  <w:style w:type="paragraph" w:styleId="BalloonText">
    <w:name w:val="Balloon Text"/>
    <w:basedOn w:val="Normal"/>
    <w:link w:val="BalloonTextChar"/>
    <w:uiPriority w:val="99"/>
    <w:semiHidden/>
    <w:unhideWhenUsed/>
    <w:rsid w:val="003D0253"/>
    <w:rPr>
      <w:rFonts w:ascii="Segoe UI" w:hAnsi="Segoe UI" w:cs="Segoe UI"/>
      <w:sz w:val="18"/>
      <w:szCs w:val="18"/>
    </w:rPr>
  </w:style>
  <w:style w:type="character" w:customStyle="1" w:styleId="BalloonTextChar">
    <w:name w:val="Balloon Text Char"/>
    <w:link w:val="BalloonText"/>
    <w:uiPriority w:val="99"/>
    <w:semiHidden/>
    <w:rsid w:val="003D0253"/>
    <w:rPr>
      <w:rFonts w:ascii="Segoe UI" w:hAnsi="Segoe UI" w:cs="Segoe UI"/>
      <w:sz w:val="18"/>
      <w:szCs w:val="18"/>
    </w:rPr>
  </w:style>
  <w:style w:type="character" w:styleId="CommentReference">
    <w:name w:val="annotation reference"/>
    <w:uiPriority w:val="99"/>
    <w:semiHidden/>
    <w:unhideWhenUsed/>
    <w:rsid w:val="003D0253"/>
    <w:rPr>
      <w:sz w:val="16"/>
      <w:szCs w:val="16"/>
    </w:rPr>
  </w:style>
  <w:style w:type="paragraph" w:styleId="CommentText">
    <w:name w:val="annotation text"/>
    <w:basedOn w:val="Normal"/>
    <w:link w:val="CommentTextChar"/>
    <w:uiPriority w:val="99"/>
    <w:semiHidden/>
    <w:unhideWhenUsed/>
    <w:rsid w:val="003D0253"/>
    <w:rPr>
      <w:sz w:val="20"/>
    </w:rPr>
  </w:style>
  <w:style w:type="character" w:customStyle="1" w:styleId="CommentTextChar">
    <w:name w:val="Comment Text Char"/>
    <w:basedOn w:val="DefaultParagraphFont"/>
    <w:link w:val="CommentText"/>
    <w:uiPriority w:val="99"/>
    <w:semiHidden/>
    <w:rsid w:val="003D0253"/>
  </w:style>
  <w:style w:type="paragraph" w:styleId="CommentSubject">
    <w:name w:val="annotation subject"/>
    <w:basedOn w:val="CommentText"/>
    <w:next w:val="CommentText"/>
    <w:link w:val="CommentSubjectChar"/>
    <w:uiPriority w:val="99"/>
    <w:semiHidden/>
    <w:unhideWhenUsed/>
    <w:rsid w:val="003D0253"/>
    <w:rPr>
      <w:b/>
      <w:bCs/>
    </w:rPr>
  </w:style>
  <w:style w:type="character" w:customStyle="1" w:styleId="CommentSubjectChar">
    <w:name w:val="Comment Subject Char"/>
    <w:link w:val="CommentSubject"/>
    <w:uiPriority w:val="99"/>
    <w:semiHidden/>
    <w:rsid w:val="003D0253"/>
    <w:rPr>
      <w:b/>
      <w:bCs/>
    </w:rPr>
  </w:style>
  <w:style w:type="paragraph" w:styleId="Revision">
    <w:name w:val="Revision"/>
    <w:hidden/>
    <w:uiPriority w:val="71"/>
    <w:rsid w:val="00672AC5"/>
    <w:rPr>
      <w:sz w:val="24"/>
    </w:rPr>
  </w:style>
  <w:style w:type="character" w:styleId="Hyperlink">
    <w:name w:val="Hyperlink"/>
    <w:uiPriority w:val="99"/>
    <w:unhideWhenUsed/>
    <w:rsid w:val="001936C8"/>
    <w:rPr>
      <w:color w:val="0563C1"/>
      <w:u w:val="single"/>
    </w:rPr>
  </w:style>
  <w:style w:type="paragraph" w:styleId="ListParagraph">
    <w:name w:val="List Paragraph"/>
    <w:basedOn w:val="Normal"/>
    <w:uiPriority w:val="72"/>
    <w:qFormat/>
    <w:rsid w:val="00321C4C"/>
    <w:pPr>
      <w:ind w:left="720"/>
      <w:contextualSpacing/>
    </w:pPr>
  </w:style>
  <w:style w:type="character" w:styleId="FollowedHyperlink">
    <w:name w:val="FollowedHyperlink"/>
    <w:basedOn w:val="DefaultParagraphFont"/>
    <w:uiPriority w:val="99"/>
    <w:semiHidden/>
    <w:unhideWhenUsed/>
    <w:rsid w:val="00822D98"/>
    <w:rPr>
      <w:color w:val="954F72" w:themeColor="followedHyperlink"/>
      <w:u w:val="single"/>
    </w:rPr>
  </w:style>
  <w:style w:type="character" w:styleId="UnresolvedMention">
    <w:name w:val="Unresolved Mention"/>
    <w:basedOn w:val="DefaultParagraphFont"/>
    <w:uiPriority w:val="99"/>
    <w:semiHidden/>
    <w:unhideWhenUsed/>
    <w:rsid w:val="00CE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02104">
      <w:bodyDiv w:val="1"/>
      <w:marLeft w:val="0"/>
      <w:marRight w:val="0"/>
      <w:marTop w:val="0"/>
      <w:marBottom w:val="0"/>
      <w:divBdr>
        <w:top w:val="none" w:sz="0" w:space="0" w:color="auto"/>
        <w:left w:val="none" w:sz="0" w:space="0" w:color="auto"/>
        <w:bottom w:val="none" w:sz="0" w:space="0" w:color="auto"/>
        <w:right w:val="none" w:sz="0" w:space="0" w:color="auto"/>
      </w:divBdr>
    </w:div>
    <w:div w:id="1752501350">
      <w:bodyDiv w:val="1"/>
      <w:marLeft w:val="0"/>
      <w:marRight w:val="0"/>
      <w:marTop w:val="0"/>
      <w:marBottom w:val="0"/>
      <w:divBdr>
        <w:top w:val="none" w:sz="0" w:space="0" w:color="auto"/>
        <w:left w:val="none" w:sz="0" w:space="0" w:color="auto"/>
        <w:bottom w:val="none" w:sz="0" w:space="0" w:color="auto"/>
        <w:right w:val="none" w:sz="0" w:space="0" w:color="auto"/>
      </w:divBdr>
    </w:div>
    <w:div w:id="181706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b.ccsu.edu/facultysenate/promoandtenure.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61F948997D34087752DF783DD7931" ma:contentTypeVersion="4" ma:contentTypeDescription="Create a new document." ma:contentTypeScope="" ma:versionID="155ddf28f38745e0884bdf6d6494a476">
  <xsd:schema xmlns:xsd="http://www.w3.org/2001/XMLSchema" xmlns:xs="http://www.w3.org/2001/XMLSchema" xmlns:p="http://schemas.microsoft.com/office/2006/metadata/properties" xmlns:ns2="d8c251d4-d050-4a1d-b483-f9a8b422b521" targetNamespace="http://schemas.microsoft.com/office/2006/metadata/properties" ma:root="true" ma:fieldsID="499ebc3a506ad80b5ff0be6129696b85" ns2:_="">
    <xsd:import namespace="d8c251d4-d050-4a1d-b483-f9a8b422b5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251d4-d050-4a1d-b483-f9a8b422b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72000-4004-4720-BE7B-1885F36E908A}">
  <ds:schemaRefs>
    <ds:schemaRef ds:uri="http://schemas.microsoft.com/sharepoint/v3/contenttype/forms"/>
  </ds:schemaRefs>
</ds:datastoreItem>
</file>

<file path=customXml/itemProps2.xml><?xml version="1.0" encoding="utf-8"?>
<ds:datastoreItem xmlns:ds="http://schemas.openxmlformats.org/officeDocument/2006/customXml" ds:itemID="{E08B9B75-1A39-4981-A996-25F7C06017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5F4A95-9C14-4626-8CDF-0AC4C3EF6348}"/>
</file>

<file path=docProps/app.xml><?xml version="1.0" encoding="utf-8"?>
<Properties xmlns="http://schemas.openxmlformats.org/officeDocument/2006/extended-properties" xmlns:vt="http://schemas.openxmlformats.org/officeDocument/2006/docPropsVTypes">
  <Template>Normal.dotm</Template>
  <TotalTime>11</TotalTime>
  <Pages>4</Pages>
  <Words>1210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CENTRAL CONNECTICUT STATE UNIVERSITY</vt:lpstr>
    </vt:vector>
  </TitlesOfParts>
  <Company>CCSU</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CONNECTICUT STATE UNIVERSITY</dc:title>
  <dc:subject/>
  <dc:creator>McCarthy, Mary (Accounting Academic)</dc:creator>
  <cp:keywords/>
  <dc:description/>
  <cp:lastModifiedBy>Kulesza, Marie G. (Accounting Academic)</cp:lastModifiedBy>
  <cp:revision>8</cp:revision>
  <cp:lastPrinted>2016-11-29T19:01:00Z</cp:lastPrinted>
  <dcterms:created xsi:type="dcterms:W3CDTF">2024-02-09T16:21:00Z</dcterms:created>
  <dcterms:modified xsi:type="dcterms:W3CDTF">2024-09-12T18:57:00Z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0x010100B5361F948997D34087752DF783DD7931</vt:lpwstr>
  </property>
  <property fmtid="{D5CDD505-2E9C-101B-9397-08002B2CF9AE}" pid="3" name="Order">
    <vt:r8>113400</vt:r8>
  </property>
</Properties>
</file>