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56EF5" w14:textId="77777777" w:rsidR="00033D98" w:rsidRPr="009739B1" w:rsidRDefault="00033D98" w:rsidP="00033D98">
      <w:pPr>
        <w:rPr>
          <w:b/>
          <w:sz w:val="28"/>
          <w:szCs w:val="28"/>
        </w:rPr>
      </w:pPr>
      <w:r w:rsidRPr="009739B1">
        <w:rPr>
          <w:b/>
          <w:sz w:val="28"/>
          <w:szCs w:val="28"/>
        </w:rPr>
        <w:t>The Comprehensive Examination (Capstone B)</w:t>
      </w:r>
    </w:p>
    <w:p w14:paraId="7BEE9A19" w14:textId="77777777" w:rsidR="00033D98" w:rsidRPr="0000525E" w:rsidRDefault="00033D98" w:rsidP="00033D98"/>
    <w:p w14:paraId="0B9A9CE8" w14:textId="77777777" w:rsidR="00033D98" w:rsidRPr="0000525E" w:rsidRDefault="00033D98" w:rsidP="00033D98">
      <w:pPr>
        <w:jc w:val="both"/>
      </w:pPr>
      <w:r w:rsidRPr="0000525E">
        <w:t xml:space="preserve">The </w:t>
      </w:r>
      <w:r>
        <w:t>c</w:t>
      </w:r>
      <w:r w:rsidRPr="0000525E">
        <w:t xml:space="preserve">omprehensive </w:t>
      </w:r>
      <w:r>
        <w:t>e</w:t>
      </w:r>
      <w:r w:rsidRPr="0000525E">
        <w:t xml:space="preserve">xam is one of the English MA program’s three capstone options, the others being the </w:t>
      </w:r>
      <w:r>
        <w:t>m</w:t>
      </w:r>
      <w:r w:rsidRPr="0000525E">
        <w:t xml:space="preserve">aster’s </w:t>
      </w:r>
      <w:r>
        <w:t>t</w:t>
      </w:r>
      <w:r w:rsidRPr="0000525E">
        <w:t xml:space="preserve">hesis and the </w:t>
      </w:r>
      <w:r>
        <w:t>s</w:t>
      </w:r>
      <w:r w:rsidRPr="0000525E">
        <w:t xml:space="preserve">pecial </w:t>
      </w:r>
      <w:r>
        <w:t>p</w:t>
      </w:r>
      <w:r w:rsidRPr="0000525E">
        <w:t xml:space="preserve">roject. It is a five-question exam based on a short reading list of primary texts. The exam, administered twice each year, is divided over two days, typically a Friday and Saturday in late March or early April and again in late October or early November. Students answer three questions in four hours on the first day, and two questions in three hours on the second day. Students must have at least a 3.00 GPA at the time they apply to take the exam. Deadlines for applying to take the exam are typically around October 1 for the fall semester and February 15 for the spring semester, but </w:t>
      </w:r>
      <w:r w:rsidRPr="0000525E">
        <w:rPr>
          <w:i/>
        </w:rPr>
        <w:t xml:space="preserve">the decision to take the exam should be made no later than the semester prior to that in which the exam is to be taken. When students decide to take the exam, they should notify the Director of Graduate Studies in English immediately to assure that they receive all relevant communications. </w:t>
      </w:r>
    </w:p>
    <w:p w14:paraId="45823271" w14:textId="77777777" w:rsidR="00033D98" w:rsidRPr="0000525E" w:rsidRDefault="00033D98" w:rsidP="00033D98">
      <w:pPr>
        <w:jc w:val="both"/>
      </w:pPr>
    </w:p>
    <w:p w14:paraId="2ED601CD" w14:textId="6F174045" w:rsidR="00033D98" w:rsidRPr="0000525E" w:rsidRDefault="00033D98" w:rsidP="00033D98">
      <w:pPr>
        <w:jc w:val="both"/>
      </w:pPr>
      <w:r w:rsidRPr="0000525E">
        <w:rPr>
          <w:b/>
          <w:bCs/>
        </w:rPr>
        <w:t>The Reading List:</w:t>
      </w:r>
      <w:r w:rsidRPr="0000525E">
        <w:t xml:space="preserve"> The texts are drawn from the full historical range of British and American literature, though each historical period may not be represented on every list; in addition, each list contains at least one work of </w:t>
      </w:r>
      <w:r>
        <w:t>w</w:t>
      </w:r>
      <w:r w:rsidRPr="0000525E">
        <w:t xml:space="preserve">orld </w:t>
      </w:r>
      <w:r>
        <w:t>l</w:t>
      </w:r>
      <w:r w:rsidRPr="0000525E">
        <w:t>iterature and one important critical or theoretical text. The list, which is different each year, is posted on the department website shortly after the previous exam is given.</w:t>
      </w:r>
      <w:r>
        <w:t xml:space="preserve"> </w:t>
      </w:r>
    </w:p>
    <w:p w14:paraId="630FECC3" w14:textId="77777777" w:rsidR="00033D98" w:rsidRPr="0000525E" w:rsidRDefault="00033D98" w:rsidP="00033D98">
      <w:pPr>
        <w:jc w:val="both"/>
      </w:pPr>
    </w:p>
    <w:p w14:paraId="74FAE621" w14:textId="77777777" w:rsidR="00033D98" w:rsidRPr="0000525E" w:rsidRDefault="00033D98" w:rsidP="00033D98">
      <w:pPr>
        <w:jc w:val="both"/>
      </w:pPr>
      <w:r w:rsidRPr="0000525E">
        <w:rPr>
          <w:b/>
        </w:rPr>
        <w:t xml:space="preserve">Studying for the Exam: </w:t>
      </w:r>
      <w:r w:rsidRPr="0000525E">
        <w:rPr>
          <w:i/>
        </w:rPr>
        <w:t>The student’s preparation for the exam should begin as soon as the new list is released, and it is strongly recommended that students take no more than one—and preferably no—courses in the semester that they plan to take the exam.</w:t>
      </w:r>
      <w:r w:rsidRPr="0000525E">
        <w:t xml:space="preserve"> Adequate knowledge of the texts on the list will involve an understanding well beyond the level of plot summary.</w:t>
      </w:r>
      <w:r>
        <w:t xml:space="preserve"> </w:t>
      </w:r>
      <w:r w:rsidRPr="0000525E">
        <w:t>Students are encouraged to consult with their adviser, the Director of Graduate Studies in English,</w:t>
      </w:r>
      <w:r w:rsidRPr="0000525E">
        <w:rPr>
          <w:i/>
        </w:rPr>
        <w:t xml:space="preserve"> </w:t>
      </w:r>
      <w:r w:rsidRPr="0000525E">
        <w:t>and faculty specialists in the texts on the reading list, and to respond to practice questions that any of these instructors can provide. In addition to reading the required primary texts, students are encouraged to consult introductions and guides to the authors and texts in question, as well as introductions to general topics useful for the exam like literary terminology, literary theory, periodization, and formal analysis; the names of such texts may be provided as an addendum to the reading list, or may be requested by the student from the instructors mentioned above. Because the exam requires knowledge of a broad historical and generic range of texts, it is strongly advised that students planning to take the exam are particularly careful to choose, in consultation with their advisers, a range of courses designed to familiarize them with a variety of literary periods and genres.</w:t>
      </w:r>
    </w:p>
    <w:p w14:paraId="585B7267" w14:textId="77777777" w:rsidR="00033D98" w:rsidRPr="0000525E" w:rsidRDefault="00033D98" w:rsidP="00033D98"/>
    <w:p w14:paraId="4740C158" w14:textId="77777777" w:rsidR="00033D98" w:rsidRPr="0000525E" w:rsidRDefault="00033D98" w:rsidP="00033D98">
      <w:pPr>
        <w:jc w:val="both"/>
      </w:pPr>
      <w:r w:rsidRPr="0000525E">
        <w:rPr>
          <w:b/>
          <w:bCs/>
        </w:rPr>
        <w:t>The Questions:</w:t>
      </w:r>
      <w:r w:rsidRPr="0000525E">
        <w:t xml:space="preserve"> The exam consists of five questions based on the texts on the reading list.  Students taking the exam answer all five questions; because the texts to be discussed are provided in advance, there is no choice of questions on the exam itself. Questions may be of several sorts, including:</w:t>
      </w:r>
    </w:p>
    <w:p w14:paraId="1A462456" w14:textId="77777777" w:rsidR="00033D98" w:rsidRPr="0000525E" w:rsidRDefault="00033D98" w:rsidP="00033D98"/>
    <w:p w14:paraId="0FECC924" w14:textId="77777777" w:rsidR="00033D98" w:rsidRPr="0000525E" w:rsidRDefault="00033D98" w:rsidP="00033D98">
      <w:pPr>
        <w:pStyle w:val="Level1"/>
        <w:numPr>
          <w:ilvl w:val="0"/>
          <w:numId w:val="2"/>
        </w:numPr>
        <w:tabs>
          <w:tab w:val="left" w:pos="-1440"/>
        </w:tabs>
        <w:outlineLvl w:val="9"/>
      </w:pPr>
      <w:r w:rsidRPr="0000525E">
        <w:t>multiple-text comparison/contrast questions</w:t>
      </w:r>
    </w:p>
    <w:p w14:paraId="09ED3203" w14:textId="77777777" w:rsidR="00033D98" w:rsidRPr="0000525E" w:rsidRDefault="00033D98" w:rsidP="00033D98">
      <w:pPr>
        <w:pStyle w:val="Level1"/>
        <w:numPr>
          <w:ilvl w:val="0"/>
          <w:numId w:val="2"/>
        </w:numPr>
        <w:tabs>
          <w:tab w:val="left" w:pos="-1440"/>
        </w:tabs>
        <w:outlineLvl w:val="9"/>
      </w:pPr>
      <w:r w:rsidRPr="0000525E">
        <w:t xml:space="preserve">questions that require close analysis or explication of a given passage </w:t>
      </w:r>
    </w:p>
    <w:p w14:paraId="6BA45EF3" w14:textId="77777777" w:rsidR="00033D98" w:rsidRPr="0000525E" w:rsidRDefault="00033D98" w:rsidP="00033D98">
      <w:pPr>
        <w:pStyle w:val="Level1"/>
        <w:numPr>
          <w:ilvl w:val="0"/>
          <w:numId w:val="2"/>
        </w:numPr>
        <w:tabs>
          <w:tab w:val="left" w:pos="-1440"/>
        </w:tabs>
        <w:outlineLvl w:val="9"/>
      </w:pPr>
      <w:proofErr w:type="gramStart"/>
      <w:r w:rsidRPr="0000525E">
        <w:t>historically-oriented</w:t>
      </w:r>
      <w:proofErr w:type="gramEnd"/>
      <w:r w:rsidRPr="0000525E">
        <w:t xml:space="preserve"> questions</w:t>
      </w:r>
    </w:p>
    <w:p w14:paraId="1BDB8385" w14:textId="77777777" w:rsidR="00033D98" w:rsidRPr="0000525E" w:rsidRDefault="00033D98" w:rsidP="00033D98">
      <w:pPr>
        <w:pStyle w:val="Level1"/>
        <w:numPr>
          <w:ilvl w:val="0"/>
          <w:numId w:val="2"/>
        </w:numPr>
        <w:tabs>
          <w:tab w:val="left" w:pos="-1440"/>
        </w:tabs>
        <w:outlineLvl w:val="9"/>
      </w:pPr>
      <w:r w:rsidRPr="0000525E">
        <w:t xml:space="preserve">generically or </w:t>
      </w:r>
      <w:proofErr w:type="gramStart"/>
      <w:r w:rsidRPr="0000525E">
        <w:t>formally-oriented</w:t>
      </w:r>
      <w:proofErr w:type="gramEnd"/>
      <w:r w:rsidRPr="0000525E">
        <w:t xml:space="preserve"> questions</w:t>
      </w:r>
    </w:p>
    <w:p w14:paraId="4F5146BA" w14:textId="77777777" w:rsidR="00033D98" w:rsidRPr="0000525E" w:rsidRDefault="00033D98" w:rsidP="00033D98">
      <w:pPr>
        <w:pStyle w:val="Level1"/>
        <w:numPr>
          <w:ilvl w:val="0"/>
          <w:numId w:val="2"/>
        </w:numPr>
        <w:tabs>
          <w:tab w:val="left" w:pos="-1440"/>
        </w:tabs>
        <w:outlineLvl w:val="9"/>
      </w:pPr>
      <w:proofErr w:type="gramStart"/>
      <w:r w:rsidRPr="0000525E">
        <w:t>thematically-oriented</w:t>
      </w:r>
      <w:proofErr w:type="gramEnd"/>
      <w:r w:rsidRPr="0000525E">
        <w:t xml:space="preserve"> questions</w:t>
      </w:r>
    </w:p>
    <w:p w14:paraId="7C133D5C" w14:textId="77777777" w:rsidR="00033D98" w:rsidRPr="0000525E" w:rsidRDefault="00033D98" w:rsidP="00033D98">
      <w:pPr>
        <w:pStyle w:val="Level1"/>
        <w:numPr>
          <w:ilvl w:val="0"/>
          <w:numId w:val="2"/>
        </w:numPr>
        <w:tabs>
          <w:tab w:val="left" w:pos="-1440"/>
        </w:tabs>
        <w:outlineLvl w:val="9"/>
      </w:pPr>
      <w:r w:rsidRPr="0000525E">
        <w:lastRenderedPageBreak/>
        <w:t>questions that require the application of critical or theoretical concepts</w:t>
      </w:r>
    </w:p>
    <w:p w14:paraId="0925F2ED" w14:textId="77777777" w:rsidR="00033D98" w:rsidRPr="0000525E" w:rsidRDefault="00033D98" w:rsidP="00033D98">
      <w:pPr>
        <w:pStyle w:val="Level1"/>
        <w:numPr>
          <w:ilvl w:val="0"/>
          <w:numId w:val="2"/>
        </w:numPr>
        <w:tabs>
          <w:tab w:val="left" w:pos="-1440"/>
        </w:tabs>
        <w:outlineLvl w:val="9"/>
      </w:pPr>
      <w:r w:rsidRPr="0000525E">
        <w:t xml:space="preserve">questions that are combinations of the above  </w:t>
      </w:r>
    </w:p>
    <w:p w14:paraId="0FE5355C" w14:textId="77777777" w:rsidR="00033D98" w:rsidRPr="0000525E" w:rsidRDefault="00033D98" w:rsidP="00033D98"/>
    <w:p w14:paraId="673CB3EE" w14:textId="77777777" w:rsidR="00033D98" w:rsidRPr="0000525E" w:rsidRDefault="00033D98" w:rsidP="00033D98">
      <w:pPr>
        <w:jc w:val="both"/>
      </w:pPr>
      <w:r w:rsidRPr="0000525E">
        <w:t xml:space="preserve">Typically, each exam contains a question requiring the close formal analysis of a poem, and a question requiring the application of the list’s critical or theoretical text to one or more of the other texts on the list. In addition to a thorough knowledge of the texts on the reading list, the questions assume no knowledge beyond the basic understanding of literary terminology, literary and cultural history, generic/formal classification, and critical analysis available </w:t>
      </w:r>
      <w:proofErr w:type="gramStart"/>
      <w:r w:rsidRPr="0000525E">
        <w:t>in the course of</w:t>
      </w:r>
      <w:proofErr w:type="gramEnd"/>
      <w:r w:rsidRPr="0000525E">
        <w:t xml:space="preserve"> a well-considered Planned Program supplemented as needed by consultation with the sorts of introductory texts mentioned above.</w:t>
      </w:r>
    </w:p>
    <w:p w14:paraId="15CB9003" w14:textId="77777777" w:rsidR="008A0364" w:rsidRDefault="008A0364"/>
    <w:p w14:paraId="40A2A036" w14:textId="77777777" w:rsidR="00747AB9" w:rsidRDefault="00747AB9"/>
    <w:p w14:paraId="018CFCF3" w14:textId="77777777" w:rsidR="00747AB9" w:rsidRDefault="00747AB9">
      <w:pPr>
        <w:rPr>
          <w:b/>
          <w:bCs/>
          <w:color w:val="000000" w:themeColor="text1"/>
        </w:rPr>
      </w:pPr>
      <w:r>
        <w:rPr>
          <w:b/>
          <w:bCs/>
          <w:color w:val="000000" w:themeColor="text1"/>
        </w:rPr>
        <w:br w:type="page"/>
      </w:r>
    </w:p>
    <w:p w14:paraId="721A330B" w14:textId="71C3D9F2" w:rsidR="00747AB9" w:rsidRPr="00F2179E" w:rsidRDefault="00747AB9" w:rsidP="00747AB9">
      <w:pPr>
        <w:pStyle w:val="NormalWeb"/>
        <w:rPr>
          <w:b/>
          <w:bCs/>
          <w:color w:val="000000" w:themeColor="text1"/>
        </w:rPr>
      </w:pPr>
      <w:r w:rsidRPr="00F2179E">
        <w:rPr>
          <w:b/>
          <w:bCs/>
          <w:color w:val="000000" w:themeColor="text1"/>
        </w:rPr>
        <w:lastRenderedPageBreak/>
        <w:t>202</w:t>
      </w:r>
      <w:r>
        <w:rPr>
          <w:b/>
          <w:bCs/>
          <w:color w:val="000000" w:themeColor="text1"/>
        </w:rPr>
        <w:t>4</w:t>
      </w:r>
      <w:r w:rsidRPr="00F2179E">
        <w:rPr>
          <w:b/>
          <w:bCs/>
          <w:color w:val="000000" w:themeColor="text1"/>
        </w:rPr>
        <w:t>-202</w:t>
      </w:r>
      <w:r>
        <w:rPr>
          <w:b/>
          <w:bCs/>
          <w:color w:val="000000" w:themeColor="text1"/>
        </w:rPr>
        <w:t>5</w:t>
      </w:r>
      <w:r w:rsidRPr="00F2179E">
        <w:rPr>
          <w:b/>
          <w:bCs/>
          <w:color w:val="000000" w:themeColor="text1"/>
        </w:rPr>
        <w:t xml:space="preserve"> English MA Comprehensive Exam List </w:t>
      </w:r>
    </w:p>
    <w:p w14:paraId="72252B79" w14:textId="77777777" w:rsidR="00747AB9" w:rsidRPr="00F2179E" w:rsidRDefault="00747AB9" w:rsidP="00747AB9">
      <w:pPr>
        <w:pStyle w:val="NormalWeb"/>
        <w:rPr>
          <w:color w:val="000000" w:themeColor="text1"/>
        </w:rPr>
      </w:pPr>
      <w:r w:rsidRPr="00F2179E">
        <w:rPr>
          <w:b/>
          <w:bCs/>
          <w:color w:val="000000" w:themeColor="text1"/>
        </w:rPr>
        <w:t xml:space="preserve">Old and Middle English Literature </w:t>
      </w:r>
    </w:p>
    <w:p w14:paraId="1701B22D" w14:textId="77777777" w:rsidR="00747AB9" w:rsidRPr="00F2179E" w:rsidRDefault="00747AB9" w:rsidP="00747AB9">
      <w:pPr>
        <w:pStyle w:val="NormalWeb"/>
        <w:numPr>
          <w:ilvl w:val="0"/>
          <w:numId w:val="4"/>
        </w:numPr>
        <w:rPr>
          <w:color w:val="000000" w:themeColor="text1"/>
        </w:rPr>
      </w:pPr>
      <w:r w:rsidRPr="00F2179E">
        <w:rPr>
          <w:color w:val="000000" w:themeColor="text1"/>
          <w:bdr w:val="none" w:sz="0" w:space="0" w:color="auto" w:frame="1"/>
        </w:rPr>
        <w:t>Marie de France, “</w:t>
      </w:r>
      <w:r>
        <w:rPr>
          <w:color w:val="000000" w:themeColor="text1"/>
          <w:bdr w:val="none" w:sz="0" w:space="0" w:color="auto" w:frame="1"/>
        </w:rPr>
        <w:t>Lanval</w:t>
      </w:r>
      <w:r w:rsidRPr="00F2179E">
        <w:rPr>
          <w:color w:val="000000" w:themeColor="text1"/>
          <w:bdr w:val="none" w:sz="0" w:space="0" w:color="auto" w:frame="1"/>
        </w:rPr>
        <w:t xml:space="preserve">” </w:t>
      </w:r>
    </w:p>
    <w:p w14:paraId="371D2D82" w14:textId="77777777" w:rsidR="00747AB9" w:rsidRPr="00F2179E" w:rsidRDefault="00747AB9" w:rsidP="00747AB9">
      <w:pPr>
        <w:pStyle w:val="ListParagraph"/>
        <w:numPr>
          <w:ilvl w:val="0"/>
          <w:numId w:val="4"/>
        </w:numPr>
        <w:rPr>
          <w:color w:val="000000" w:themeColor="text1"/>
          <w:bdr w:val="none" w:sz="0" w:space="0" w:color="auto" w:frame="1"/>
        </w:rPr>
      </w:pPr>
      <w:r w:rsidRPr="00F2179E">
        <w:rPr>
          <w:color w:val="000000" w:themeColor="text1"/>
        </w:rPr>
        <w:t xml:space="preserve">Geoffrey </w:t>
      </w:r>
      <w:r w:rsidRPr="00F2179E">
        <w:rPr>
          <w:color w:val="000000" w:themeColor="text1"/>
          <w:bdr w:val="none" w:sz="0" w:space="0" w:color="auto" w:frame="1"/>
        </w:rPr>
        <w:t xml:space="preserve">Chaucer, “The Clerk’s Tale” &amp; “The Man of Law’s Tale” from </w:t>
      </w:r>
      <w:r w:rsidRPr="00F2179E">
        <w:rPr>
          <w:i/>
          <w:iCs/>
          <w:color w:val="000000" w:themeColor="text1"/>
          <w:bdr w:val="none" w:sz="0" w:space="0" w:color="auto" w:frame="1"/>
        </w:rPr>
        <w:t xml:space="preserve">The Canterbury Tales </w:t>
      </w:r>
      <w:r w:rsidRPr="00F2179E">
        <w:rPr>
          <w:color w:val="000000" w:themeColor="text1"/>
          <w:bdr w:val="none" w:sz="0" w:space="0" w:color="auto" w:frame="1"/>
        </w:rPr>
        <w:t>(Norton, trans. Sheila Fisher)</w:t>
      </w:r>
      <w:r w:rsidRPr="00F2179E">
        <w:rPr>
          <w:i/>
          <w:iCs/>
          <w:color w:val="000000" w:themeColor="text1"/>
          <w:bdr w:val="none" w:sz="0" w:space="0" w:color="auto" w:frame="1"/>
        </w:rPr>
        <w:t xml:space="preserve"> </w:t>
      </w:r>
    </w:p>
    <w:p w14:paraId="7567A0CD" w14:textId="77777777" w:rsidR="00747AB9" w:rsidRPr="00F2179E" w:rsidRDefault="00747AB9" w:rsidP="00747AB9">
      <w:pPr>
        <w:pStyle w:val="NormalWeb"/>
        <w:rPr>
          <w:color w:val="000000" w:themeColor="text1"/>
        </w:rPr>
      </w:pPr>
      <w:r w:rsidRPr="00F2179E">
        <w:rPr>
          <w:b/>
          <w:bCs/>
          <w:color w:val="000000" w:themeColor="text1"/>
        </w:rPr>
        <w:t xml:space="preserve">Renaissance and 17th-Century English Literature </w:t>
      </w:r>
    </w:p>
    <w:p w14:paraId="2390CABE" w14:textId="77777777" w:rsidR="00747AB9" w:rsidRPr="00F2179E" w:rsidRDefault="00747AB9" w:rsidP="00747AB9">
      <w:pPr>
        <w:pStyle w:val="NormalWeb"/>
        <w:numPr>
          <w:ilvl w:val="1"/>
          <w:numId w:val="3"/>
        </w:numPr>
        <w:ind w:left="720"/>
        <w:rPr>
          <w:color w:val="000000" w:themeColor="text1"/>
        </w:rPr>
      </w:pPr>
      <w:r w:rsidRPr="00F2179E">
        <w:rPr>
          <w:color w:val="000000" w:themeColor="text1"/>
        </w:rPr>
        <w:t xml:space="preserve">William Shakespeare, </w:t>
      </w:r>
      <w:r w:rsidRPr="00F2179E">
        <w:rPr>
          <w:i/>
          <w:iCs/>
          <w:color w:val="000000" w:themeColor="text1"/>
        </w:rPr>
        <w:t xml:space="preserve">Twelfth Night </w:t>
      </w:r>
      <w:r w:rsidRPr="00F2179E">
        <w:rPr>
          <w:color w:val="000000" w:themeColor="text1"/>
        </w:rPr>
        <w:t xml:space="preserve">(The Arden Shakespeare Third Series) </w:t>
      </w:r>
    </w:p>
    <w:p w14:paraId="04BE8EA7" w14:textId="77777777" w:rsidR="00747AB9" w:rsidRPr="00F2179E" w:rsidRDefault="00747AB9" w:rsidP="00747AB9">
      <w:pPr>
        <w:pStyle w:val="NormalWeb"/>
        <w:numPr>
          <w:ilvl w:val="1"/>
          <w:numId w:val="3"/>
        </w:numPr>
        <w:ind w:left="720"/>
        <w:rPr>
          <w:color w:val="000000" w:themeColor="text1"/>
        </w:rPr>
      </w:pPr>
      <w:r w:rsidRPr="00F2179E">
        <w:rPr>
          <w:color w:val="000000" w:themeColor="text1"/>
          <w:bdr w:val="none" w:sz="0" w:space="0" w:color="auto" w:frame="1"/>
        </w:rPr>
        <w:t xml:space="preserve">John Milton, </w:t>
      </w:r>
      <w:r w:rsidRPr="00F2179E">
        <w:rPr>
          <w:i/>
          <w:iCs/>
          <w:color w:val="000000" w:themeColor="text1"/>
          <w:bdr w:val="none" w:sz="0" w:space="0" w:color="auto" w:frame="1"/>
        </w:rPr>
        <w:t xml:space="preserve">Paradise </w:t>
      </w:r>
      <w:r w:rsidRPr="00F2179E">
        <w:rPr>
          <w:color w:val="000000" w:themeColor="text1"/>
          <w:bdr w:val="none" w:sz="0" w:space="0" w:color="auto" w:frame="1"/>
        </w:rPr>
        <w:t xml:space="preserve">Lost, Books 1 &amp; 2 </w:t>
      </w:r>
    </w:p>
    <w:p w14:paraId="1D7355EA" w14:textId="77777777" w:rsidR="00747AB9" w:rsidRPr="00F2179E" w:rsidRDefault="00747AB9" w:rsidP="00747AB9">
      <w:pPr>
        <w:pStyle w:val="NormalWeb"/>
        <w:rPr>
          <w:b/>
          <w:bCs/>
          <w:color w:val="000000" w:themeColor="text1"/>
        </w:rPr>
      </w:pPr>
      <w:r w:rsidRPr="00F2179E">
        <w:rPr>
          <w:b/>
          <w:bCs/>
          <w:color w:val="000000" w:themeColor="text1"/>
        </w:rPr>
        <w:t xml:space="preserve">Restoration and 18th-Century English Literature </w:t>
      </w:r>
    </w:p>
    <w:p w14:paraId="6CB3C327"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Katherine Phillips, </w:t>
      </w:r>
      <w:r>
        <w:rPr>
          <w:color w:val="000000" w:themeColor="text1"/>
        </w:rPr>
        <w:t>“</w:t>
      </w:r>
      <w:r w:rsidRPr="00F2179E">
        <w:rPr>
          <w:color w:val="000000" w:themeColor="text1"/>
        </w:rPr>
        <w:t xml:space="preserve">Friendship's Mystery, to My Dearest </w:t>
      </w:r>
      <w:proofErr w:type="spellStart"/>
      <w:r w:rsidRPr="00F2179E">
        <w:rPr>
          <w:color w:val="000000" w:themeColor="text1"/>
        </w:rPr>
        <w:t>Lucasia</w:t>
      </w:r>
      <w:proofErr w:type="spellEnd"/>
      <w:r>
        <w:rPr>
          <w:color w:val="000000" w:themeColor="text1"/>
        </w:rPr>
        <w:t>”</w:t>
      </w:r>
      <w:r w:rsidRPr="00F2179E">
        <w:rPr>
          <w:color w:val="000000" w:themeColor="text1"/>
        </w:rPr>
        <w:t xml:space="preserve"> &amp; </w:t>
      </w:r>
      <w:r>
        <w:rPr>
          <w:color w:val="000000" w:themeColor="text1"/>
        </w:rPr>
        <w:t>“</w:t>
      </w:r>
      <w:r w:rsidRPr="00F2179E">
        <w:rPr>
          <w:color w:val="000000" w:themeColor="text1"/>
        </w:rPr>
        <w:t xml:space="preserve">To My Excellent </w:t>
      </w:r>
      <w:proofErr w:type="spellStart"/>
      <w:r w:rsidRPr="00F2179E">
        <w:rPr>
          <w:color w:val="000000" w:themeColor="text1"/>
        </w:rPr>
        <w:t>Lucasia</w:t>
      </w:r>
      <w:proofErr w:type="spellEnd"/>
      <w:r w:rsidRPr="00F2179E">
        <w:rPr>
          <w:color w:val="000000" w:themeColor="text1"/>
        </w:rPr>
        <w:t xml:space="preserve"> on Our Friendship</w:t>
      </w:r>
      <w:r>
        <w:rPr>
          <w:color w:val="000000" w:themeColor="text1"/>
        </w:rPr>
        <w:t>”</w:t>
      </w:r>
      <w:r w:rsidRPr="00F2179E">
        <w:rPr>
          <w:color w:val="000000" w:themeColor="text1"/>
        </w:rPr>
        <w:t xml:space="preserve"> </w:t>
      </w:r>
    </w:p>
    <w:p w14:paraId="4752A481"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Aphra </w:t>
      </w:r>
      <w:proofErr w:type="spellStart"/>
      <w:r w:rsidRPr="00F2179E">
        <w:rPr>
          <w:color w:val="000000" w:themeColor="text1"/>
        </w:rPr>
        <w:t>Behn</w:t>
      </w:r>
      <w:proofErr w:type="spellEnd"/>
      <w:r w:rsidRPr="00F2179E">
        <w:rPr>
          <w:color w:val="000000" w:themeColor="text1"/>
        </w:rPr>
        <w:t xml:space="preserve">, </w:t>
      </w:r>
      <w:r w:rsidRPr="00F2179E">
        <w:rPr>
          <w:i/>
          <w:iCs/>
          <w:color w:val="000000" w:themeColor="text1"/>
        </w:rPr>
        <w:t>The Rover</w:t>
      </w:r>
    </w:p>
    <w:p w14:paraId="487DD3F0"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Jonathan Swift, </w:t>
      </w:r>
      <w:r w:rsidRPr="00F2179E">
        <w:rPr>
          <w:i/>
          <w:iCs/>
          <w:color w:val="000000" w:themeColor="text1"/>
        </w:rPr>
        <w:t>Gulliver’s Travels</w:t>
      </w:r>
    </w:p>
    <w:p w14:paraId="1E386752" w14:textId="77777777" w:rsidR="00747AB9" w:rsidRPr="00F2179E" w:rsidRDefault="00747AB9" w:rsidP="00747AB9">
      <w:pPr>
        <w:pStyle w:val="NormalWeb"/>
        <w:rPr>
          <w:b/>
          <w:bCs/>
          <w:color w:val="000000" w:themeColor="text1"/>
        </w:rPr>
      </w:pPr>
      <w:r w:rsidRPr="00F2179E">
        <w:rPr>
          <w:b/>
          <w:bCs/>
          <w:color w:val="000000" w:themeColor="text1"/>
        </w:rPr>
        <w:t xml:space="preserve">19th-Century English Literature </w:t>
      </w:r>
    </w:p>
    <w:p w14:paraId="74E0730D"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Samuel Taylor Coleridge, “</w:t>
      </w:r>
      <w:r>
        <w:rPr>
          <w:color w:val="000000" w:themeColor="text1"/>
        </w:rPr>
        <w:t xml:space="preserve">The </w:t>
      </w:r>
      <w:r w:rsidRPr="00F2179E">
        <w:rPr>
          <w:color w:val="000000" w:themeColor="text1"/>
        </w:rPr>
        <w:t>R</w:t>
      </w:r>
      <w:r>
        <w:rPr>
          <w:color w:val="000000" w:themeColor="text1"/>
        </w:rPr>
        <w:t>i</w:t>
      </w:r>
      <w:r w:rsidRPr="00F2179E">
        <w:rPr>
          <w:color w:val="000000" w:themeColor="text1"/>
        </w:rPr>
        <w:t>me of the Ancient Mariner”</w:t>
      </w:r>
    </w:p>
    <w:p w14:paraId="61AAB7C0"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John Keats, “Ode to a Nightingale” &amp; “Ode to Autumn” </w:t>
      </w:r>
    </w:p>
    <w:p w14:paraId="6D582E84"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Charlotte Brontë</w:t>
      </w:r>
      <w:r w:rsidRPr="00F2179E">
        <w:rPr>
          <w:i/>
          <w:iCs/>
          <w:color w:val="000000" w:themeColor="text1"/>
        </w:rPr>
        <w:t xml:space="preserve">, Jane Eyre </w:t>
      </w:r>
    </w:p>
    <w:p w14:paraId="6AFD8220"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Oscar Wilde, </w:t>
      </w:r>
      <w:r w:rsidRPr="00F2179E">
        <w:rPr>
          <w:i/>
          <w:iCs/>
          <w:color w:val="000000" w:themeColor="text1"/>
        </w:rPr>
        <w:t>An Ideal Husband</w:t>
      </w:r>
    </w:p>
    <w:p w14:paraId="1A75EF5A" w14:textId="77777777" w:rsidR="00747AB9" w:rsidRPr="00F2179E" w:rsidRDefault="00747AB9" w:rsidP="00747AB9">
      <w:pPr>
        <w:pStyle w:val="NormalWeb"/>
        <w:rPr>
          <w:b/>
          <w:bCs/>
          <w:color w:val="000000" w:themeColor="text1"/>
        </w:rPr>
      </w:pPr>
      <w:r w:rsidRPr="00F2179E">
        <w:rPr>
          <w:b/>
          <w:bCs/>
          <w:color w:val="000000" w:themeColor="text1"/>
        </w:rPr>
        <w:t xml:space="preserve">American Literature before 1860 </w:t>
      </w:r>
    </w:p>
    <w:p w14:paraId="396C0E90"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Phillis Wheatley</w:t>
      </w:r>
    </w:p>
    <w:p w14:paraId="01776D01"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bdr w:val="none" w:sz="0" w:space="0" w:color="auto" w:frame="1"/>
        </w:rPr>
        <w:t>“</w:t>
      </w:r>
      <w:r w:rsidRPr="00F2179E">
        <w:rPr>
          <w:color w:val="000000"/>
          <w:bdr w:val="none" w:sz="0" w:space="0" w:color="auto" w:frame="1"/>
        </w:rPr>
        <w:t>To Maecenas</w:t>
      </w:r>
      <w:r>
        <w:rPr>
          <w:color w:val="000000"/>
          <w:bdr w:val="none" w:sz="0" w:space="0" w:color="auto" w:frame="1"/>
        </w:rPr>
        <w:t>”</w:t>
      </w:r>
    </w:p>
    <w:p w14:paraId="5D9D65CD" w14:textId="77777777" w:rsidR="00747AB9" w:rsidRPr="00F2179E" w:rsidRDefault="00747AB9" w:rsidP="00747AB9">
      <w:pPr>
        <w:pStyle w:val="ListParagraph"/>
        <w:numPr>
          <w:ilvl w:val="0"/>
          <w:numId w:val="3"/>
        </w:numPr>
        <w:shd w:val="clear" w:color="auto" w:fill="FFFFFF"/>
        <w:ind w:left="1080"/>
        <w:textAlignment w:val="baseline"/>
        <w:rPr>
          <w:color w:val="000000"/>
        </w:rPr>
      </w:pPr>
      <w:r w:rsidRPr="00F2179E">
        <w:rPr>
          <w:color w:val="201F1E"/>
          <w:bdr w:val="none" w:sz="0" w:space="0" w:color="auto" w:frame="1"/>
        </w:rPr>
        <w:t>“On Imagination”</w:t>
      </w:r>
    </w:p>
    <w:p w14:paraId="7A574A47"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rPr>
        <w:t>“</w:t>
      </w:r>
      <w:r w:rsidRPr="00F2179E">
        <w:rPr>
          <w:color w:val="000000"/>
        </w:rPr>
        <w:t>On Being Brought from Africa to America</w:t>
      </w:r>
      <w:r>
        <w:rPr>
          <w:color w:val="000000"/>
        </w:rPr>
        <w:t>”</w:t>
      </w:r>
    </w:p>
    <w:p w14:paraId="01C9852D"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rPr>
        <w:t>“</w:t>
      </w:r>
      <w:r w:rsidRPr="00F2179E">
        <w:rPr>
          <w:color w:val="000000"/>
        </w:rPr>
        <w:t>To the University of Cambridge in New England</w:t>
      </w:r>
      <w:r>
        <w:rPr>
          <w:color w:val="000000"/>
        </w:rPr>
        <w:t>”</w:t>
      </w:r>
    </w:p>
    <w:p w14:paraId="2B06BABC"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rPr>
        <w:t>“</w:t>
      </w:r>
      <w:r w:rsidRPr="00F2179E">
        <w:rPr>
          <w:color w:val="000000"/>
        </w:rPr>
        <w:t>On the Death of Rev. Mr. George Whitefield, 1770</w:t>
      </w:r>
      <w:r>
        <w:rPr>
          <w:color w:val="000000"/>
        </w:rPr>
        <w:t>”</w:t>
      </w:r>
    </w:p>
    <w:p w14:paraId="3C36784B"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rPr>
        <w:t>“</w:t>
      </w:r>
      <w:r w:rsidRPr="00F2179E">
        <w:rPr>
          <w:color w:val="000000"/>
        </w:rPr>
        <w:t>To S.M., a Young African Painter, on Seeing His Works</w:t>
      </w:r>
      <w:r>
        <w:rPr>
          <w:color w:val="000000"/>
        </w:rPr>
        <w:t>”</w:t>
      </w:r>
    </w:p>
    <w:p w14:paraId="10B1B65B" w14:textId="77777777" w:rsidR="00747AB9" w:rsidRPr="00F2179E" w:rsidRDefault="00747AB9" w:rsidP="00747AB9">
      <w:pPr>
        <w:pStyle w:val="ListParagraph"/>
        <w:numPr>
          <w:ilvl w:val="0"/>
          <w:numId w:val="3"/>
        </w:numPr>
        <w:shd w:val="clear" w:color="auto" w:fill="FFFFFF"/>
        <w:ind w:left="1080"/>
        <w:textAlignment w:val="baseline"/>
        <w:rPr>
          <w:color w:val="000000"/>
        </w:rPr>
      </w:pPr>
      <w:r w:rsidRPr="00F2179E">
        <w:rPr>
          <w:color w:val="000000"/>
          <w:bdr w:val="none" w:sz="0" w:space="0" w:color="auto" w:frame="1"/>
        </w:rPr>
        <w:t>“Niobe in Distress for Her Children Slain by Apollo, from Ovid…” </w:t>
      </w:r>
    </w:p>
    <w:p w14:paraId="0CAD841F"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rPr>
        <w:t>“</w:t>
      </w:r>
      <w:r w:rsidRPr="00F2179E">
        <w:rPr>
          <w:color w:val="000000"/>
        </w:rPr>
        <w:t>Hymn to Morning</w:t>
      </w:r>
      <w:r>
        <w:rPr>
          <w:color w:val="000000"/>
        </w:rPr>
        <w:t>”</w:t>
      </w:r>
    </w:p>
    <w:p w14:paraId="77B2628A"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rPr>
        <w:t>“</w:t>
      </w:r>
      <w:r w:rsidRPr="00F2179E">
        <w:rPr>
          <w:color w:val="000000"/>
        </w:rPr>
        <w:t>To His Excellency George Washington</w:t>
      </w:r>
      <w:r>
        <w:rPr>
          <w:color w:val="000000"/>
        </w:rPr>
        <w:t>”</w:t>
      </w:r>
    </w:p>
    <w:p w14:paraId="117B3AB4"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bdr w:val="none" w:sz="0" w:space="0" w:color="auto" w:frame="1"/>
        </w:rPr>
        <w:t>“</w:t>
      </w:r>
      <w:r w:rsidRPr="00F2179E">
        <w:rPr>
          <w:color w:val="000000"/>
          <w:bdr w:val="none" w:sz="0" w:space="0" w:color="auto" w:frame="1"/>
        </w:rPr>
        <w:t>America</w:t>
      </w:r>
      <w:r>
        <w:rPr>
          <w:color w:val="000000"/>
          <w:bdr w:val="none" w:sz="0" w:space="0" w:color="auto" w:frame="1"/>
        </w:rPr>
        <w:t>”</w:t>
      </w:r>
      <w:r w:rsidRPr="00F2179E">
        <w:rPr>
          <w:color w:val="000000"/>
          <w:bdr w:val="none" w:sz="0" w:space="0" w:color="auto" w:frame="1"/>
        </w:rPr>
        <w:t xml:space="preserve"> (unpublished)</w:t>
      </w:r>
    </w:p>
    <w:p w14:paraId="3F87B487" w14:textId="77777777" w:rsidR="00747AB9" w:rsidRPr="00F2179E" w:rsidRDefault="00747AB9" w:rsidP="00747AB9">
      <w:pPr>
        <w:pStyle w:val="ListParagraph"/>
        <w:numPr>
          <w:ilvl w:val="0"/>
          <w:numId w:val="3"/>
        </w:numPr>
        <w:shd w:val="clear" w:color="auto" w:fill="FFFFFF"/>
        <w:ind w:left="1080"/>
        <w:textAlignment w:val="baseline"/>
        <w:rPr>
          <w:color w:val="000000"/>
        </w:rPr>
      </w:pPr>
      <w:r>
        <w:rPr>
          <w:color w:val="000000"/>
        </w:rPr>
        <w:t>“</w:t>
      </w:r>
      <w:r w:rsidRPr="00F2179E">
        <w:rPr>
          <w:color w:val="000000"/>
        </w:rPr>
        <w:t>On the Death of General Wooster</w:t>
      </w:r>
      <w:r>
        <w:rPr>
          <w:color w:val="000000"/>
        </w:rPr>
        <w:t>”</w:t>
      </w:r>
      <w:r w:rsidRPr="00F2179E">
        <w:rPr>
          <w:color w:val="000000"/>
        </w:rPr>
        <w:t xml:space="preserve"> (unpublished)</w:t>
      </w:r>
    </w:p>
    <w:p w14:paraId="54256E2B" w14:textId="77777777" w:rsidR="00747AB9" w:rsidRPr="00F2179E" w:rsidRDefault="00747AB9" w:rsidP="00747AB9">
      <w:pPr>
        <w:pStyle w:val="ListParagraph"/>
        <w:numPr>
          <w:ilvl w:val="0"/>
          <w:numId w:val="3"/>
        </w:numPr>
        <w:shd w:val="clear" w:color="auto" w:fill="FFFFFF"/>
        <w:ind w:left="1080"/>
        <w:textAlignment w:val="baseline"/>
        <w:rPr>
          <w:color w:val="000000"/>
        </w:rPr>
      </w:pPr>
      <w:r w:rsidRPr="00F2179E">
        <w:rPr>
          <w:color w:val="201F1E"/>
          <w:bdr w:val="none" w:sz="0" w:space="0" w:color="auto" w:frame="1"/>
        </w:rPr>
        <w:t xml:space="preserve">Letter: “Reverend and Honored Sir [to Samson </w:t>
      </w:r>
      <w:proofErr w:type="spellStart"/>
      <w:r w:rsidRPr="00F2179E">
        <w:rPr>
          <w:color w:val="201F1E"/>
          <w:bdr w:val="none" w:sz="0" w:space="0" w:color="auto" w:frame="1"/>
        </w:rPr>
        <w:t>Occum</w:t>
      </w:r>
      <w:proofErr w:type="spellEnd"/>
      <w:r w:rsidRPr="00F2179E">
        <w:rPr>
          <w:color w:val="201F1E"/>
          <w:bdr w:val="none" w:sz="0" w:space="0" w:color="auto" w:frame="1"/>
        </w:rPr>
        <w:t xml:space="preserve"> Feb. 11, 1774]</w:t>
      </w:r>
    </w:p>
    <w:p w14:paraId="3B003A45" w14:textId="77777777" w:rsidR="00747AB9" w:rsidRPr="00F2179E" w:rsidRDefault="00747AB9" w:rsidP="00747AB9">
      <w:pPr>
        <w:pStyle w:val="ListParagraph"/>
        <w:numPr>
          <w:ilvl w:val="0"/>
          <w:numId w:val="3"/>
        </w:numPr>
        <w:shd w:val="clear" w:color="auto" w:fill="FFFFFF"/>
        <w:ind w:left="1080"/>
        <w:textAlignment w:val="baseline"/>
        <w:rPr>
          <w:color w:val="000000"/>
        </w:rPr>
      </w:pPr>
      <w:r w:rsidRPr="00F2179E">
        <w:rPr>
          <w:color w:val="201F1E"/>
          <w:bdr w:val="none" w:sz="0" w:space="0" w:color="auto" w:frame="1"/>
        </w:rPr>
        <w:t xml:space="preserve">Letter: </w:t>
      </w:r>
      <w:r>
        <w:rPr>
          <w:color w:val="201F1E"/>
          <w:bdr w:val="none" w:sz="0" w:space="0" w:color="auto" w:frame="1"/>
        </w:rPr>
        <w:t>“</w:t>
      </w:r>
      <w:r w:rsidRPr="00F2179E">
        <w:rPr>
          <w:color w:val="201F1E"/>
          <w:bdr w:val="none" w:sz="0" w:space="0" w:color="auto" w:frame="1"/>
        </w:rPr>
        <w:t xml:space="preserve">To the Right </w:t>
      </w:r>
      <w:proofErr w:type="spellStart"/>
      <w:r w:rsidRPr="00F2179E">
        <w:rPr>
          <w:color w:val="201F1E"/>
          <w:bdr w:val="none" w:sz="0" w:space="0" w:color="auto" w:frame="1"/>
        </w:rPr>
        <w:t>Honourable</w:t>
      </w:r>
      <w:proofErr w:type="spellEnd"/>
      <w:r w:rsidRPr="00F2179E">
        <w:rPr>
          <w:color w:val="201F1E"/>
          <w:bdr w:val="none" w:sz="0" w:space="0" w:color="auto" w:frame="1"/>
        </w:rPr>
        <w:t xml:space="preserve"> the Countess of Huntingdon” [Oct. 25. 1770]</w:t>
      </w:r>
    </w:p>
    <w:p w14:paraId="12C829F5"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Harriot Jacobs, </w:t>
      </w:r>
      <w:r w:rsidRPr="00F2179E">
        <w:rPr>
          <w:i/>
          <w:iCs/>
          <w:color w:val="000000" w:themeColor="text1"/>
        </w:rPr>
        <w:t>Incidents in the Life of a Slave Girl</w:t>
      </w:r>
    </w:p>
    <w:p w14:paraId="23FE5B05"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Nathaniel Hawthorne, </w:t>
      </w:r>
      <w:r>
        <w:rPr>
          <w:color w:val="000000" w:themeColor="text1"/>
        </w:rPr>
        <w:t>“</w:t>
      </w:r>
      <w:r w:rsidRPr="00F2179E">
        <w:rPr>
          <w:color w:val="000000" w:themeColor="text1"/>
        </w:rPr>
        <w:t>The Birthmark</w:t>
      </w:r>
      <w:r>
        <w:rPr>
          <w:color w:val="000000" w:themeColor="text1"/>
        </w:rPr>
        <w:t>”</w:t>
      </w:r>
      <w:r w:rsidRPr="00F2179E">
        <w:rPr>
          <w:color w:val="000000" w:themeColor="text1"/>
        </w:rPr>
        <w:t xml:space="preserve"> and </w:t>
      </w:r>
      <w:r>
        <w:rPr>
          <w:color w:val="000000" w:themeColor="text1"/>
        </w:rPr>
        <w:t>“</w:t>
      </w:r>
      <w:r w:rsidRPr="00F2179E">
        <w:rPr>
          <w:color w:val="000000" w:themeColor="text1"/>
        </w:rPr>
        <w:t>Young Goodman Brown</w:t>
      </w:r>
      <w:r>
        <w:rPr>
          <w:color w:val="000000" w:themeColor="text1"/>
        </w:rPr>
        <w:t>”</w:t>
      </w:r>
      <w:r w:rsidRPr="00F2179E">
        <w:rPr>
          <w:color w:val="000000" w:themeColor="text1"/>
        </w:rPr>
        <w:t xml:space="preserve"> </w:t>
      </w:r>
    </w:p>
    <w:p w14:paraId="6FF69F70" w14:textId="77777777" w:rsidR="00747AB9" w:rsidRPr="00F2179E" w:rsidRDefault="00747AB9" w:rsidP="00747AB9">
      <w:pPr>
        <w:pStyle w:val="NormalWeb"/>
        <w:rPr>
          <w:color w:val="000000" w:themeColor="text1"/>
        </w:rPr>
      </w:pPr>
      <w:r w:rsidRPr="00F2179E">
        <w:rPr>
          <w:b/>
          <w:bCs/>
          <w:color w:val="000000" w:themeColor="text1"/>
        </w:rPr>
        <w:lastRenderedPageBreak/>
        <w:t xml:space="preserve">American Literature since 1860 </w:t>
      </w:r>
    </w:p>
    <w:p w14:paraId="634F769C"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Lorraine Hansberry, </w:t>
      </w:r>
      <w:r w:rsidRPr="00F2179E">
        <w:rPr>
          <w:i/>
          <w:iCs/>
          <w:color w:val="000000" w:themeColor="text1"/>
        </w:rPr>
        <w:t>A Raisin in the Sun</w:t>
      </w:r>
    </w:p>
    <w:p w14:paraId="7A86204D"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James Baldwin,</w:t>
      </w:r>
      <w:r w:rsidRPr="00F2179E">
        <w:rPr>
          <w:i/>
          <w:iCs/>
          <w:color w:val="000000" w:themeColor="text1"/>
        </w:rPr>
        <w:t xml:space="preserve"> Giovanni’s Room</w:t>
      </w:r>
    </w:p>
    <w:p w14:paraId="06921DD1" w14:textId="77777777" w:rsidR="00747AB9" w:rsidRPr="00F2179E" w:rsidRDefault="00747AB9" w:rsidP="00747AB9">
      <w:pPr>
        <w:pStyle w:val="NormalWeb"/>
        <w:numPr>
          <w:ilvl w:val="1"/>
          <w:numId w:val="3"/>
        </w:numPr>
        <w:spacing w:before="0" w:beforeAutospacing="0" w:after="0" w:afterAutospacing="0"/>
        <w:ind w:left="720"/>
        <w:rPr>
          <w:b/>
          <w:bCs/>
          <w:color w:val="000000" w:themeColor="text1"/>
        </w:rPr>
      </w:pPr>
      <w:r w:rsidRPr="00F2179E">
        <w:rPr>
          <w:color w:val="000000" w:themeColor="text1"/>
        </w:rPr>
        <w:t>Joy Harjo</w:t>
      </w:r>
    </w:p>
    <w:p w14:paraId="2E8E875C"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“Call It Fear”</w:t>
      </w:r>
    </w:p>
    <w:p w14:paraId="2CEBA33F"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 xml:space="preserve">“The Woman Hanging </w:t>
      </w:r>
      <w:proofErr w:type="gramStart"/>
      <w:r w:rsidRPr="00F2179E">
        <w:rPr>
          <w:color w:val="201F1E"/>
          <w:bdr w:val="none" w:sz="0" w:space="0" w:color="auto" w:frame="1"/>
        </w:rPr>
        <w:t>From</w:t>
      </w:r>
      <w:proofErr w:type="gramEnd"/>
      <w:r w:rsidRPr="00F2179E">
        <w:rPr>
          <w:color w:val="201F1E"/>
          <w:bdr w:val="none" w:sz="0" w:space="0" w:color="auto" w:frame="1"/>
        </w:rPr>
        <w:t xml:space="preserve"> the Thirteenth Floor Window”</w:t>
      </w:r>
    </w:p>
    <w:p w14:paraId="66E28505"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“She Had Some Horses”</w:t>
      </w:r>
    </w:p>
    <w:p w14:paraId="1B16088E"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“I Give You Back”</w:t>
      </w:r>
    </w:p>
    <w:p w14:paraId="3752ED1A"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 xml:space="preserve">“For Alva Benson, And </w:t>
      </w:r>
      <w:proofErr w:type="gramStart"/>
      <w:r w:rsidRPr="00F2179E">
        <w:rPr>
          <w:color w:val="201F1E"/>
          <w:bdr w:val="none" w:sz="0" w:space="0" w:color="auto" w:frame="1"/>
        </w:rPr>
        <w:t>For</w:t>
      </w:r>
      <w:proofErr w:type="gramEnd"/>
      <w:r w:rsidRPr="00F2179E">
        <w:rPr>
          <w:color w:val="201F1E"/>
          <w:bdr w:val="none" w:sz="0" w:space="0" w:color="auto" w:frame="1"/>
        </w:rPr>
        <w:t xml:space="preserve"> Those Who Have Learned to Speak”</w:t>
      </w:r>
    </w:p>
    <w:p w14:paraId="035EDD29"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“Trickster”</w:t>
      </w:r>
    </w:p>
    <w:p w14:paraId="695711C8"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“Deer Dancer”</w:t>
      </w:r>
    </w:p>
    <w:p w14:paraId="4C522615"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“Strange Fruit”</w:t>
      </w:r>
    </w:p>
    <w:p w14:paraId="068BDA36"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“Song for the Deer and Myself to Return On”</w:t>
      </w:r>
    </w:p>
    <w:p w14:paraId="3E3EF048"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bdr w:val="none" w:sz="0" w:space="0" w:color="auto" w:frame="1"/>
        </w:rPr>
        <w:t>“Day of the Dead”</w:t>
      </w:r>
    </w:p>
    <w:p w14:paraId="0F94C982" w14:textId="77777777" w:rsidR="00747AB9" w:rsidRPr="00F2179E" w:rsidRDefault="00747AB9" w:rsidP="00747AB9">
      <w:pPr>
        <w:pStyle w:val="xmsonormal"/>
        <w:numPr>
          <w:ilvl w:val="0"/>
          <w:numId w:val="3"/>
        </w:numPr>
        <w:shd w:val="clear" w:color="auto" w:fill="FFFFFF"/>
        <w:spacing w:before="0" w:beforeAutospacing="0" w:after="0" w:afterAutospacing="0"/>
        <w:ind w:left="1080"/>
        <w:rPr>
          <w:color w:val="201F1E"/>
        </w:rPr>
      </w:pPr>
      <w:r w:rsidRPr="00F2179E">
        <w:rPr>
          <w:color w:val="201F1E"/>
          <w:shd w:val="clear" w:color="auto" w:fill="FFFFFF"/>
        </w:rPr>
        <w:t>Excerpt from memoir </w:t>
      </w:r>
      <w:r w:rsidRPr="00F2179E">
        <w:rPr>
          <w:i/>
          <w:iCs/>
          <w:color w:val="201F1E"/>
          <w:bdr w:val="none" w:sz="0" w:space="0" w:color="auto" w:frame="1"/>
        </w:rPr>
        <w:t xml:space="preserve">Poet Warrior, </w:t>
      </w:r>
      <w:r w:rsidRPr="00F2179E">
        <w:rPr>
          <w:color w:val="201F1E"/>
          <w:bdr w:val="none" w:sz="0" w:space="0" w:color="auto" w:frame="1"/>
        </w:rPr>
        <w:t>pages 1-27.</w:t>
      </w:r>
    </w:p>
    <w:p w14:paraId="5A03416A" w14:textId="77777777" w:rsidR="00747AB9" w:rsidRPr="00F2179E" w:rsidRDefault="00747AB9" w:rsidP="00747AB9">
      <w:pPr>
        <w:pStyle w:val="NormalWeb"/>
        <w:rPr>
          <w:color w:val="000000" w:themeColor="text1"/>
        </w:rPr>
      </w:pPr>
      <w:r w:rsidRPr="00F2179E">
        <w:rPr>
          <w:b/>
          <w:bCs/>
          <w:color w:val="000000" w:themeColor="text1"/>
        </w:rPr>
        <w:t xml:space="preserve">Post-1900 British &amp; Anglophone Literature </w:t>
      </w:r>
    </w:p>
    <w:p w14:paraId="49F15A65"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E. M. Foster, </w:t>
      </w:r>
      <w:r w:rsidRPr="00F2179E">
        <w:rPr>
          <w:i/>
          <w:iCs/>
          <w:color w:val="000000" w:themeColor="text1"/>
        </w:rPr>
        <w:t>Passage to India</w:t>
      </w:r>
    </w:p>
    <w:p w14:paraId="4B25BB31"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rPr>
        <w:t xml:space="preserve">Jean Rhys, </w:t>
      </w:r>
      <w:r w:rsidRPr="00F2179E">
        <w:rPr>
          <w:i/>
          <w:iCs/>
          <w:color w:val="000000" w:themeColor="text1"/>
        </w:rPr>
        <w:t xml:space="preserve">Wide Sargasso Sea </w:t>
      </w:r>
    </w:p>
    <w:p w14:paraId="018B333A" w14:textId="77777777" w:rsidR="00747AB9" w:rsidRPr="00F2179E" w:rsidRDefault="00747AB9" w:rsidP="00747AB9">
      <w:pPr>
        <w:pStyle w:val="NormalWeb"/>
        <w:numPr>
          <w:ilvl w:val="1"/>
          <w:numId w:val="3"/>
        </w:numPr>
        <w:ind w:left="720"/>
        <w:rPr>
          <w:b/>
          <w:bCs/>
          <w:color w:val="000000" w:themeColor="text1"/>
        </w:rPr>
      </w:pPr>
      <w:r w:rsidRPr="00F2179E">
        <w:rPr>
          <w:color w:val="000000" w:themeColor="text1"/>
          <w:bdr w:val="none" w:sz="0" w:space="0" w:color="auto" w:frame="1"/>
        </w:rPr>
        <w:t xml:space="preserve">Patience </w:t>
      </w:r>
      <w:proofErr w:type="spellStart"/>
      <w:r w:rsidRPr="00F2179E">
        <w:rPr>
          <w:color w:val="000000" w:themeColor="text1"/>
          <w:bdr w:val="none" w:sz="0" w:space="0" w:color="auto" w:frame="1"/>
        </w:rPr>
        <w:t>Agbabi</w:t>
      </w:r>
      <w:proofErr w:type="spellEnd"/>
      <w:r w:rsidRPr="00F2179E">
        <w:rPr>
          <w:color w:val="000000" w:themeColor="text1"/>
          <w:bdr w:val="none" w:sz="0" w:space="0" w:color="auto" w:frame="1"/>
        </w:rPr>
        <w:t xml:space="preserve">, “I Go Back to May 1967” and “Unfinished Business” from </w:t>
      </w:r>
      <w:r w:rsidRPr="00F2179E">
        <w:rPr>
          <w:i/>
          <w:iCs/>
          <w:color w:val="000000" w:themeColor="text1"/>
          <w:bdr w:val="none" w:sz="0" w:space="0" w:color="auto" w:frame="1"/>
        </w:rPr>
        <w:t xml:space="preserve">Telling Tales: A Remix </w:t>
      </w:r>
    </w:p>
    <w:p w14:paraId="5438E52D" w14:textId="77777777" w:rsidR="00747AB9" w:rsidRPr="00F2179E" w:rsidRDefault="00747AB9" w:rsidP="00747AB9">
      <w:pPr>
        <w:pStyle w:val="NormalWeb"/>
        <w:rPr>
          <w:b/>
          <w:bCs/>
          <w:color w:val="000000" w:themeColor="text1"/>
        </w:rPr>
      </w:pPr>
      <w:r w:rsidRPr="00F2179E">
        <w:rPr>
          <w:b/>
          <w:bCs/>
          <w:color w:val="000000" w:themeColor="text1"/>
        </w:rPr>
        <w:t>Theory</w:t>
      </w:r>
    </w:p>
    <w:p w14:paraId="25BCD687" w14:textId="77777777" w:rsidR="00747AB9" w:rsidRDefault="00747AB9" w:rsidP="00747AB9">
      <w:pPr>
        <w:pStyle w:val="NormalWeb"/>
        <w:numPr>
          <w:ilvl w:val="1"/>
          <w:numId w:val="3"/>
        </w:numPr>
        <w:ind w:left="720"/>
        <w:rPr>
          <w:b/>
          <w:bCs/>
          <w:color w:val="000000" w:themeColor="text1"/>
        </w:rPr>
      </w:pPr>
      <w:r w:rsidRPr="00F2179E">
        <w:rPr>
          <w:color w:val="000000" w:themeColor="text1"/>
        </w:rPr>
        <w:t xml:space="preserve">Sylvia Wynter, “Unsettling the Coloniality of Being/Power/Truth/Freedom: Towards the Human, After Man, Its Overrepresentation--An Argument” </w:t>
      </w:r>
      <w:r w:rsidRPr="00F2179E">
        <w:rPr>
          <w:i/>
          <w:iCs/>
        </w:rPr>
        <w:t>CR: The New Centennial Review</w:t>
      </w:r>
      <w:r w:rsidRPr="00F2179E">
        <w:t xml:space="preserve"> Vol. 3, No. 3, coloniality's persistence (fall 2003), pp. 257-337</w:t>
      </w:r>
    </w:p>
    <w:p w14:paraId="587EBC8D" w14:textId="77777777" w:rsidR="00747AB9" w:rsidRPr="00224ED4" w:rsidRDefault="00747AB9" w:rsidP="00747AB9">
      <w:pPr>
        <w:pStyle w:val="NormalWeb"/>
        <w:rPr>
          <w:b/>
          <w:bCs/>
          <w:color w:val="000000" w:themeColor="text1"/>
        </w:rPr>
      </w:pPr>
      <w:r>
        <w:rPr>
          <w:b/>
          <w:bCs/>
          <w:color w:val="000000" w:themeColor="text1"/>
        </w:rPr>
        <w:t>______________________________________________________________________________</w:t>
      </w:r>
    </w:p>
    <w:p w14:paraId="11146051" w14:textId="77777777" w:rsidR="00747AB9" w:rsidRDefault="00747AB9" w:rsidP="00747AB9">
      <w:pPr>
        <w:rPr>
          <w:b/>
          <w:bCs/>
        </w:rPr>
      </w:pPr>
    </w:p>
    <w:p w14:paraId="55BFB6E7" w14:textId="77777777" w:rsidR="00747AB9" w:rsidRPr="00224ED4" w:rsidRDefault="00747AB9" w:rsidP="00747AB9">
      <w:pPr>
        <w:rPr>
          <w:b/>
          <w:bCs/>
        </w:rPr>
      </w:pPr>
      <w:r w:rsidRPr="00224ED4">
        <w:rPr>
          <w:b/>
          <w:bCs/>
        </w:rPr>
        <w:t xml:space="preserve">Deadlines for applying to take the exam: </w:t>
      </w:r>
    </w:p>
    <w:p w14:paraId="36D88D97" w14:textId="77777777" w:rsidR="00747AB9" w:rsidRDefault="00747AB9" w:rsidP="00747AB9"/>
    <w:p w14:paraId="2CBCB33F" w14:textId="77777777" w:rsidR="00747AB9" w:rsidRDefault="00747AB9" w:rsidP="00747AB9">
      <w:pPr>
        <w:ind w:left="360"/>
      </w:pPr>
      <w:r w:rsidRPr="00224ED4">
        <w:t xml:space="preserve">• Fall Semester – October 1 </w:t>
      </w:r>
    </w:p>
    <w:p w14:paraId="5E35461C" w14:textId="77777777" w:rsidR="00747AB9" w:rsidRDefault="00747AB9" w:rsidP="00747AB9">
      <w:pPr>
        <w:ind w:left="360"/>
      </w:pPr>
    </w:p>
    <w:p w14:paraId="3CCF924A" w14:textId="77777777" w:rsidR="00747AB9" w:rsidRDefault="00747AB9" w:rsidP="00747AB9">
      <w:pPr>
        <w:ind w:left="360"/>
      </w:pPr>
      <w:r w:rsidRPr="00224ED4">
        <w:t xml:space="preserve">• Spring Semester – February 15 </w:t>
      </w:r>
    </w:p>
    <w:p w14:paraId="022BECDD" w14:textId="77777777" w:rsidR="00747AB9" w:rsidRDefault="00747AB9" w:rsidP="00747AB9"/>
    <w:p w14:paraId="6A2A94CD" w14:textId="77777777" w:rsidR="00747AB9" w:rsidRPr="00224ED4" w:rsidRDefault="00747AB9" w:rsidP="00747AB9">
      <w:r w:rsidRPr="00224ED4">
        <w:t xml:space="preserve">Application available here: </w:t>
      </w:r>
      <w:hyperlink r:id="rId5" w:history="1">
        <w:r w:rsidRPr="00FD6321">
          <w:rPr>
            <w:rStyle w:val="Hyperlink"/>
          </w:rPr>
          <w:t>https:/</w:t>
        </w:r>
        <w:r w:rsidRPr="00FD6321">
          <w:rPr>
            <w:rStyle w:val="Hyperlink"/>
          </w:rPr>
          <w:t>/</w:t>
        </w:r>
        <w:r w:rsidRPr="00FD6321">
          <w:rPr>
            <w:rStyle w:val="Hyperlink"/>
          </w:rPr>
          <w:t>tinyurl.com/42cntx39</w:t>
        </w:r>
      </w:hyperlink>
    </w:p>
    <w:p w14:paraId="3C751101" w14:textId="77777777" w:rsidR="00747AB9" w:rsidRDefault="00747AB9"/>
    <w:sectPr w:rsidR="00747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MT">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upperLetter"/>
      <w:pStyle w:val="Level1"/>
      <w:lvlText w:val="%1-"/>
      <w:lvlJc w:val="left"/>
      <w:pPr>
        <w:tabs>
          <w:tab w:val="num" w:pos="720"/>
        </w:tabs>
        <w:ind w:left="1440" w:hanging="1440"/>
      </w:p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 w15:restartNumberingAfterBreak="0">
    <w:nsid w:val="4EEF5A15"/>
    <w:multiLevelType w:val="hybridMultilevel"/>
    <w:tmpl w:val="4832F8F2"/>
    <w:lvl w:ilvl="0" w:tplc="6BF03798">
      <w:start w:val="2"/>
      <w:numFmt w:val="bullet"/>
      <w:lvlText w:val=""/>
      <w:lvlJc w:val="left"/>
      <w:pPr>
        <w:ind w:left="720" w:hanging="360"/>
      </w:pPr>
      <w:rPr>
        <w:rFonts w:ascii="Symbol" w:eastAsia="Times New Roman" w:hAnsi="Symbol" w:cs="ArialMT"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330AC"/>
    <w:multiLevelType w:val="multilevel"/>
    <w:tmpl w:val="1EA89044"/>
    <w:lvl w:ilvl="0">
      <w:start w:val="1"/>
      <w:numFmt w:val="bullet"/>
      <w:lvlText w:val=""/>
      <w:lvlJc w:val="left"/>
      <w:pPr>
        <w:tabs>
          <w:tab w:val="num" w:pos="720"/>
        </w:tabs>
        <w:ind w:left="720" w:hanging="360"/>
      </w:pPr>
      <w:rPr>
        <w:rFonts w:ascii="Wingdings" w:hAnsi="Wingdings" w:hint="default"/>
        <w:sz w:val="20"/>
      </w:rPr>
    </w:lvl>
    <w:lvl w:ilvl="1">
      <w:start w:val="2"/>
      <w:numFmt w:val="bullet"/>
      <w:lvlText w:val=""/>
      <w:lvlJc w:val="left"/>
      <w:pPr>
        <w:ind w:left="1440" w:hanging="360"/>
      </w:pPr>
      <w:rPr>
        <w:rFonts w:ascii="Symbol" w:eastAsia="Times New Roman" w:hAnsi="Symbol"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B17743"/>
    <w:multiLevelType w:val="hybridMultilevel"/>
    <w:tmpl w:val="7276A9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947003851">
    <w:abstractNumId w:val="0"/>
    <w:lvlOverride w:ilvl="0">
      <w:startOverride w:val="2"/>
      <w:lvl w:ilvl="0">
        <w:start w:val="2"/>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97198087">
    <w:abstractNumId w:val="3"/>
  </w:num>
  <w:num w:numId="3" w16cid:durableId="854882429">
    <w:abstractNumId w:val="2"/>
  </w:num>
  <w:num w:numId="4" w16cid:durableId="4461230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D98"/>
    <w:rsid w:val="00033D98"/>
    <w:rsid w:val="003A5271"/>
    <w:rsid w:val="003B0F38"/>
    <w:rsid w:val="00747AB9"/>
    <w:rsid w:val="008541E3"/>
    <w:rsid w:val="008A0364"/>
    <w:rsid w:val="0098434E"/>
    <w:rsid w:val="00E5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B2264F1"/>
  <w15:chartTrackingRefBased/>
  <w15:docId w15:val="{3EE9D6E1-A892-504A-9A3B-467E1470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D9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33D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D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D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D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D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D9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D9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D9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D9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D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D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D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D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D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D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D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D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D98"/>
    <w:rPr>
      <w:rFonts w:eastAsiaTheme="majorEastAsia" w:cstheme="majorBidi"/>
      <w:color w:val="272727" w:themeColor="text1" w:themeTint="D8"/>
    </w:rPr>
  </w:style>
  <w:style w:type="paragraph" w:styleId="Title">
    <w:name w:val="Title"/>
    <w:basedOn w:val="Normal"/>
    <w:next w:val="Normal"/>
    <w:link w:val="TitleChar"/>
    <w:uiPriority w:val="10"/>
    <w:qFormat/>
    <w:rsid w:val="00033D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D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D9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D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D9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33D98"/>
    <w:rPr>
      <w:i/>
      <w:iCs/>
      <w:color w:val="404040" w:themeColor="text1" w:themeTint="BF"/>
    </w:rPr>
  </w:style>
  <w:style w:type="paragraph" w:styleId="ListParagraph">
    <w:name w:val="List Paragraph"/>
    <w:basedOn w:val="Normal"/>
    <w:uiPriority w:val="34"/>
    <w:qFormat/>
    <w:rsid w:val="00033D98"/>
    <w:pPr>
      <w:ind w:left="720"/>
      <w:contextualSpacing/>
    </w:pPr>
  </w:style>
  <w:style w:type="character" w:styleId="IntenseEmphasis">
    <w:name w:val="Intense Emphasis"/>
    <w:basedOn w:val="DefaultParagraphFont"/>
    <w:uiPriority w:val="21"/>
    <w:qFormat/>
    <w:rsid w:val="00033D98"/>
    <w:rPr>
      <w:i/>
      <w:iCs/>
      <w:color w:val="0F4761" w:themeColor="accent1" w:themeShade="BF"/>
    </w:rPr>
  </w:style>
  <w:style w:type="paragraph" w:styleId="IntenseQuote">
    <w:name w:val="Intense Quote"/>
    <w:basedOn w:val="Normal"/>
    <w:next w:val="Normal"/>
    <w:link w:val="IntenseQuoteChar"/>
    <w:uiPriority w:val="30"/>
    <w:qFormat/>
    <w:rsid w:val="00033D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D98"/>
    <w:rPr>
      <w:i/>
      <w:iCs/>
      <w:color w:val="0F4761" w:themeColor="accent1" w:themeShade="BF"/>
    </w:rPr>
  </w:style>
  <w:style w:type="character" w:styleId="IntenseReference">
    <w:name w:val="Intense Reference"/>
    <w:basedOn w:val="DefaultParagraphFont"/>
    <w:uiPriority w:val="32"/>
    <w:qFormat/>
    <w:rsid w:val="00033D98"/>
    <w:rPr>
      <w:b/>
      <w:bCs/>
      <w:smallCaps/>
      <w:color w:val="0F4761" w:themeColor="accent1" w:themeShade="BF"/>
      <w:spacing w:val="5"/>
    </w:rPr>
  </w:style>
  <w:style w:type="paragraph" w:customStyle="1" w:styleId="Level1">
    <w:name w:val="Level 1"/>
    <w:basedOn w:val="Normal"/>
    <w:rsid w:val="00033D98"/>
    <w:pPr>
      <w:widowControl w:val="0"/>
      <w:numPr>
        <w:numId w:val="1"/>
      </w:numPr>
      <w:autoSpaceDE w:val="0"/>
      <w:autoSpaceDN w:val="0"/>
      <w:adjustRightInd w:val="0"/>
      <w:ind w:left="720" w:hanging="720"/>
      <w:outlineLvl w:val="0"/>
    </w:pPr>
  </w:style>
  <w:style w:type="paragraph" w:styleId="NormalWeb">
    <w:name w:val="Normal (Web)"/>
    <w:basedOn w:val="Normal"/>
    <w:uiPriority w:val="99"/>
    <w:unhideWhenUsed/>
    <w:rsid w:val="00747AB9"/>
    <w:pPr>
      <w:spacing w:before="100" w:beforeAutospacing="1" w:after="100" w:afterAutospacing="1"/>
    </w:pPr>
  </w:style>
  <w:style w:type="paragraph" w:customStyle="1" w:styleId="xmsonormal">
    <w:name w:val="x_msonormal"/>
    <w:basedOn w:val="Normal"/>
    <w:rsid w:val="00747AB9"/>
    <w:pPr>
      <w:spacing w:before="100" w:beforeAutospacing="1" w:after="100" w:afterAutospacing="1"/>
    </w:pPr>
  </w:style>
  <w:style w:type="character" w:styleId="Hyperlink">
    <w:name w:val="Hyperlink"/>
    <w:basedOn w:val="DefaultParagraphFont"/>
    <w:uiPriority w:val="99"/>
    <w:unhideWhenUsed/>
    <w:rsid w:val="00747AB9"/>
    <w:rPr>
      <w:color w:val="467886" w:themeColor="hyperlink"/>
      <w:u w:val="single"/>
    </w:rPr>
  </w:style>
  <w:style w:type="character" w:styleId="FollowedHyperlink">
    <w:name w:val="FollowedHyperlink"/>
    <w:basedOn w:val="DefaultParagraphFont"/>
    <w:uiPriority w:val="99"/>
    <w:semiHidden/>
    <w:unhideWhenUsed/>
    <w:rsid w:val="00747AB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inyurl.com/42cntx3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Spillman, Deborah (English)</dc:creator>
  <cp:keywords/>
  <dc:description/>
  <cp:lastModifiedBy>Spillman, Deborah (English)</cp:lastModifiedBy>
  <cp:revision>2</cp:revision>
  <dcterms:created xsi:type="dcterms:W3CDTF">2024-07-15T14:01:00Z</dcterms:created>
  <dcterms:modified xsi:type="dcterms:W3CDTF">2024-07-15T17:30:00Z</dcterms:modified>
</cp:coreProperties>
</file>